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87" w:rsidRPr="00FB41AB" w:rsidRDefault="00CF0913" w:rsidP="004C4487">
      <w:pPr>
        <w:pStyle w:val="Title"/>
        <w:jc w:val="both"/>
        <w:rPr>
          <w:rFonts w:ascii="Calibri" w:hAnsi="Calibri"/>
          <w:sz w:val="26"/>
        </w:rPr>
      </w:pPr>
      <w:bookmarkStart w:id="0" w:name="_GoBack"/>
      <w:bookmarkEnd w:id="0"/>
      <w:r w:rsidRPr="00FB41AB">
        <w:rPr>
          <w:rFonts w:ascii="Calibri" w:hAnsi="Calibri"/>
          <w:sz w:val="26"/>
        </w:rPr>
        <w:t xml:space="preserve">Sinteza modificărilor </w:t>
      </w:r>
      <w:r w:rsidR="005C2B5A">
        <w:rPr>
          <w:rFonts w:ascii="Calibri" w:hAnsi="Calibri"/>
          <w:sz w:val="26"/>
        </w:rPr>
        <w:t xml:space="preserve">asupra </w:t>
      </w:r>
      <w:r w:rsidRPr="00FB41AB">
        <w:rPr>
          <w:rFonts w:ascii="Calibri" w:hAnsi="Calibri"/>
          <w:sz w:val="26"/>
        </w:rPr>
        <w:t>G</w:t>
      </w:r>
      <w:r w:rsidR="005C2B5A">
        <w:rPr>
          <w:rFonts w:ascii="Calibri" w:hAnsi="Calibri"/>
          <w:sz w:val="26"/>
        </w:rPr>
        <w:t>hidului specific</w:t>
      </w:r>
      <w:r w:rsidRPr="00FB41AB">
        <w:rPr>
          <w:rFonts w:ascii="Calibri" w:hAnsi="Calibri"/>
          <w:sz w:val="26"/>
        </w:rPr>
        <w:t xml:space="preserve"> 2.1A - Microîntreprinderi,</w:t>
      </w:r>
      <w:r w:rsidR="004C4487" w:rsidRPr="00FB41AB">
        <w:rPr>
          <w:rFonts w:ascii="Calibri" w:hAnsi="Calibri"/>
          <w:sz w:val="26"/>
        </w:rPr>
        <w:t xml:space="preserve"> POR 2014-2020</w:t>
      </w:r>
    </w:p>
    <w:p w:rsidR="004C4487" w:rsidRPr="00FB41AB" w:rsidRDefault="004C4487" w:rsidP="004C4487">
      <w:pPr>
        <w:pStyle w:val="Title"/>
        <w:jc w:val="both"/>
      </w:pPr>
    </w:p>
    <w:tbl>
      <w:tblPr>
        <w:tblStyle w:val="TableGrid"/>
        <w:tblW w:w="0" w:type="auto"/>
        <w:tblLook w:val="04A0" w:firstRow="1" w:lastRow="0" w:firstColumn="1" w:lastColumn="0" w:noHBand="0" w:noVBand="1"/>
      </w:tblPr>
      <w:tblGrid>
        <w:gridCol w:w="562"/>
        <w:gridCol w:w="6521"/>
        <w:gridCol w:w="6911"/>
      </w:tblGrid>
      <w:tr w:rsidR="00824984" w:rsidRPr="00FB41AB" w:rsidTr="00EE6F23">
        <w:tc>
          <w:tcPr>
            <w:tcW w:w="562" w:type="dxa"/>
          </w:tcPr>
          <w:p w:rsidR="00824984" w:rsidRPr="00FB41AB" w:rsidRDefault="004C4487">
            <w:r w:rsidRPr="00FB41AB">
              <w:t>Nr. Crt.</w:t>
            </w:r>
          </w:p>
        </w:tc>
        <w:tc>
          <w:tcPr>
            <w:tcW w:w="6521" w:type="dxa"/>
          </w:tcPr>
          <w:p w:rsidR="00824984" w:rsidRPr="00FB41AB" w:rsidRDefault="00AC0CAE" w:rsidP="00AC0CAE">
            <w:pPr>
              <w:jc w:val="center"/>
              <w:rPr>
                <w:lang w:val="en-US"/>
              </w:rPr>
            </w:pPr>
            <w:r w:rsidRPr="00FB41AB">
              <w:rPr>
                <w:b/>
                <w:i/>
              </w:rPr>
              <w:t>”</w:t>
            </w:r>
            <w:r w:rsidR="004C4487" w:rsidRPr="00FB41AB">
              <w:rPr>
                <w:b/>
                <w:i/>
              </w:rPr>
              <w:t>Ghidul Solicitantului – Conditii specifice de accesare  a fondurilor in cadrul Apelului de proiecte nr. POR/2016/2/2.1/A – Microîntreprinderi</w:t>
            </w:r>
            <w:r w:rsidRPr="00FB41AB">
              <w:rPr>
                <w:b/>
                <w:i/>
              </w:rPr>
              <w:t>”</w:t>
            </w:r>
            <w:r w:rsidRPr="00FB41AB">
              <w:rPr>
                <w:b/>
              </w:rPr>
              <w:t xml:space="preserve"> aprobat prin Ordinul 765/26.05.2016, cu modificarile si completarile ulterioare</w:t>
            </w:r>
          </w:p>
        </w:tc>
        <w:tc>
          <w:tcPr>
            <w:tcW w:w="6911" w:type="dxa"/>
          </w:tcPr>
          <w:p w:rsidR="004C4487" w:rsidRPr="00FB41AB" w:rsidRDefault="004C4487" w:rsidP="004C4487">
            <w:pPr>
              <w:jc w:val="center"/>
              <w:rPr>
                <w:b/>
              </w:rPr>
            </w:pPr>
            <w:r w:rsidRPr="00FB41AB">
              <w:rPr>
                <w:b/>
              </w:rPr>
              <w:t>Modificari/Completari</w:t>
            </w:r>
          </w:p>
          <w:p w:rsidR="00824984" w:rsidRPr="00FB41AB" w:rsidRDefault="004C4487" w:rsidP="004C4487">
            <w:pPr>
              <w:jc w:val="center"/>
            </w:pPr>
            <w:r w:rsidRPr="00FB41AB">
              <w:rPr>
                <w:b/>
              </w:rPr>
              <w:t>Octombrie 2016</w:t>
            </w:r>
          </w:p>
        </w:tc>
      </w:tr>
      <w:tr w:rsidR="001E56D1" w:rsidRPr="00FB41AB" w:rsidTr="00F9522F">
        <w:tc>
          <w:tcPr>
            <w:tcW w:w="13994" w:type="dxa"/>
            <w:gridSpan w:val="3"/>
          </w:tcPr>
          <w:p w:rsidR="001E56D1" w:rsidRPr="00FB41AB" w:rsidRDefault="001E56D1" w:rsidP="004C4487">
            <w:pPr>
              <w:jc w:val="center"/>
              <w:rPr>
                <w:b/>
                <w:i/>
              </w:rPr>
            </w:pPr>
            <w:r w:rsidRPr="00FB41AB">
              <w:rPr>
                <w:b/>
                <w:i/>
              </w:rPr>
              <w:t>G</w:t>
            </w:r>
            <w:r w:rsidR="0056395E" w:rsidRPr="00FB41AB">
              <w:rPr>
                <w:b/>
                <w:i/>
              </w:rPr>
              <w:t>hidul Specific 2.1A</w:t>
            </w:r>
          </w:p>
        </w:tc>
      </w:tr>
      <w:tr w:rsidR="00824984" w:rsidRPr="00FB41AB" w:rsidTr="00D74A93">
        <w:tc>
          <w:tcPr>
            <w:tcW w:w="13994" w:type="dxa"/>
            <w:gridSpan w:val="3"/>
          </w:tcPr>
          <w:p w:rsidR="00824984" w:rsidRPr="00FB41AB" w:rsidRDefault="00B3505F" w:rsidP="00B3505F">
            <w:pPr>
              <w:jc w:val="center"/>
              <w:rPr>
                <w:b/>
                <w:i/>
              </w:rPr>
            </w:pPr>
            <w:r w:rsidRPr="00FB41AB">
              <w:rPr>
                <w:b/>
                <w:i/>
              </w:rPr>
              <w:t>Subs</w:t>
            </w:r>
            <w:r w:rsidR="00824984" w:rsidRPr="00FB41AB">
              <w:rPr>
                <w:b/>
                <w:i/>
              </w:rPr>
              <w:t>e</w:t>
            </w:r>
            <w:r w:rsidR="00FB41AB">
              <w:rPr>
                <w:b/>
                <w:i/>
              </w:rPr>
              <w:t xml:space="preserve">ctiunea </w:t>
            </w:r>
            <w:r w:rsidR="00824984" w:rsidRPr="00FB41AB">
              <w:rPr>
                <w:b/>
                <w:i/>
              </w:rPr>
              <w:t>2.1.</w:t>
            </w:r>
            <w:r w:rsidRPr="00FB41AB">
              <w:rPr>
                <w:b/>
                <w:i/>
              </w:rPr>
              <w:t xml:space="preserve"> </w:t>
            </w:r>
            <w:r w:rsidR="00824984" w:rsidRPr="00FB41AB">
              <w:rPr>
                <w:b/>
                <w:i/>
              </w:rPr>
              <w:t>Ce tip de apel de proiecte se lansează?</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E6F23" w:rsidRPr="00FB41AB" w:rsidRDefault="00E57560" w:rsidP="00E57560">
            <w:pPr>
              <w:jc w:val="both"/>
            </w:pPr>
            <w:r w:rsidRPr="00FB41AB">
              <w:t>”</w:t>
            </w:r>
            <w:r w:rsidR="00DF50EB" w:rsidRPr="00FB41AB">
              <w:t>În cadrul acestui apel, un solicitant poate depune o singură cerere de finanțare.”</w:t>
            </w:r>
          </w:p>
        </w:tc>
        <w:tc>
          <w:tcPr>
            <w:tcW w:w="6911" w:type="dxa"/>
          </w:tcPr>
          <w:p w:rsidR="00DF50EB" w:rsidRPr="00B50C32" w:rsidRDefault="00DF50EB" w:rsidP="00DF50EB">
            <w:pPr>
              <w:rPr>
                <w:i/>
              </w:rPr>
            </w:pPr>
            <w:r w:rsidRPr="00B50C32">
              <w:rPr>
                <w:i/>
              </w:rPr>
              <w:t>Regulile de calcul aferente termenelor pentru mecanismul de selecție și contractare anterior descris se realizează în conformitate cu secțiunea 8.5 – Etapa precontractuală din ghidul general.</w:t>
            </w:r>
          </w:p>
          <w:p w:rsidR="00EE6F23" w:rsidRPr="00B50C32" w:rsidRDefault="004C3FD0" w:rsidP="00DF50EB">
            <w:r>
              <w:rPr>
                <w:i/>
              </w:rPr>
              <w:t>În cadrul acestui apel, proiectele respinse în cadrul etapei de verificare a conformității administrative și eligibilității pot fi redepuse, cu condiția respectării termenului limită de depunere a cererilor de finanțare ori a condițiilor de închidere a apelului. Nu pot fi redepuse proiectele după ce au fost respinse în cadrul etapei de evaluare tehnică și financiară. Toate proiectele redepuse sunt considerate, din punct de vedere procedural, proiecte nou-depuse.</w:t>
            </w:r>
          </w:p>
        </w:tc>
      </w:tr>
      <w:tr w:rsidR="0063315F" w:rsidRPr="00FB41AB" w:rsidTr="00DA3B84">
        <w:tc>
          <w:tcPr>
            <w:tcW w:w="13994" w:type="dxa"/>
            <w:gridSpan w:val="3"/>
          </w:tcPr>
          <w:p w:rsidR="0063315F" w:rsidRPr="00FB41AB" w:rsidRDefault="00AD4DAC" w:rsidP="00AD4DAC">
            <w:pPr>
              <w:jc w:val="center"/>
            </w:pPr>
            <w:r w:rsidRPr="00FB41AB">
              <w:rPr>
                <w:b/>
                <w:i/>
              </w:rPr>
              <w:t>Sectiunea 3.2. Eligibilitatea solicitantului, pct. 6</w:t>
            </w:r>
            <w:r w:rsidR="002A0F78" w:rsidRPr="00FB41AB">
              <w:rPr>
                <w:b/>
                <w:i/>
              </w:rPr>
              <w:t>, lit. d)</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57560" w:rsidRPr="00FB41AB" w:rsidRDefault="00E57560" w:rsidP="00E57560">
            <w:pPr>
              <w:jc w:val="both"/>
            </w:pPr>
            <w:r w:rsidRPr="00FB41AB">
              <w:t>”</w:t>
            </w:r>
            <w:r w:rsidRPr="00FB41AB">
              <w:rPr>
                <w:i/>
                <w:u w:val="single"/>
              </w:rPr>
              <w:t>[doar pentru întreprinderi care au, la data declarației, cel puțin 3 ani de la înființare]</w:t>
            </w:r>
          </w:p>
          <w:p w:rsidR="00E57560" w:rsidRPr="00FB41AB" w:rsidRDefault="00E57560" w:rsidP="00E57560">
            <w:pPr>
              <w:jc w:val="both"/>
            </w:pPr>
            <w:r w:rsidRPr="00FB41AB">
              <w:t>Este în dificultate, în conformitate cu prevederile Regulamentului (UE) nr. 651/2014 al</w:t>
            </w:r>
            <w:r w:rsidR="008D6F8D" w:rsidRPr="00FB41AB">
              <w:t xml:space="preserve"> </w:t>
            </w:r>
            <w:r w:rsidRPr="00FB41AB">
              <w:t>Comisiei din 17 iunie 2014 de declarare a anumitor categorii de ajutoare compatibile cu</w:t>
            </w:r>
            <w:r w:rsidR="008D6F8D" w:rsidRPr="00FB41AB">
              <w:t xml:space="preserve"> </w:t>
            </w:r>
            <w:r w:rsidRPr="00FB41AB">
              <w:t>piața internă în aplicarea articolelor 107 și 108 din tratat, și anume:</w:t>
            </w:r>
          </w:p>
          <w:p w:rsidR="00E57560" w:rsidRPr="00FB41AB" w:rsidRDefault="00E57560" w:rsidP="00E57560">
            <w:pPr>
              <w:jc w:val="both"/>
            </w:pPr>
            <w:r w:rsidRPr="00FB41AB">
              <w:t>(I) în cazul unei societăți cu răspundere limitată, atunci când mai mult de jumătate din</w:t>
            </w:r>
            <w:r w:rsidR="008D6F8D" w:rsidRPr="00FB41AB">
              <w:t xml:space="preserve"> </w:t>
            </w:r>
            <w:r w:rsidRPr="00FB41AB">
              <w:t>capitalul social subscris a dispărut din cauza pierderilor acumulate. Această situație</w:t>
            </w:r>
            <w:r w:rsidR="008D6F8D" w:rsidRPr="00FB41AB">
              <w:t xml:space="preserve"> </w:t>
            </w:r>
            <w:r w:rsidRPr="00FB41AB">
              <w:t>survine atunci când deducerea pierderilor acumulate din rezerve (și din toate celelalte</w:t>
            </w:r>
            <w:r w:rsidR="008D6F8D" w:rsidRPr="00FB41AB">
              <w:t xml:space="preserve"> </w:t>
            </w:r>
            <w:r w:rsidRPr="00FB41AB">
              <w:t>elemente considerate în general ca făcând parte din fondurile proprii ale societății) conduce la un cuantum cumulat negativ care depășește jumătate din capitalul social subscris;</w:t>
            </w:r>
          </w:p>
          <w:p w:rsidR="00E57560" w:rsidRPr="00FB41AB" w:rsidRDefault="00E57560" w:rsidP="00E57560">
            <w:pPr>
              <w:jc w:val="both"/>
            </w:pPr>
            <w:r w:rsidRPr="00FB41AB">
              <w:lastRenderedPageBreak/>
              <w:t>(II) 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rsidR="00E57560" w:rsidRPr="00FB41AB" w:rsidRDefault="00E57560" w:rsidP="00E57560">
            <w:pPr>
              <w:jc w:val="both"/>
            </w:pPr>
            <w:r w:rsidRPr="00FB41AB">
              <w:t>(III) atunci când întreprinderea face obiectul unei proceduri colective de insolvență sau îndeplinește criteriile prevăzute de legislația națională pentru inițierea unei proceduri colective de insolvență la cererea creditori lor săi;</w:t>
            </w:r>
          </w:p>
          <w:p w:rsidR="00EE6F23" w:rsidRPr="00FB41AB" w:rsidRDefault="00E57560" w:rsidP="00E57560">
            <w:pPr>
              <w:jc w:val="both"/>
            </w:pPr>
            <w:r w:rsidRPr="00FB41AB">
              <w:t>(IV) atunci când întreprinderea a primit ajutor pentru salvare și nu a rambursat încă împrumutul sau nu a încetat garanția sau a primit ajutoare pentru restructurare și face încă obiectul unui plan de restructurare.”</w:t>
            </w:r>
          </w:p>
        </w:tc>
        <w:tc>
          <w:tcPr>
            <w:tcW w:w="6911" w:type="dxa"/>
          </w:tcPr>
          <w:p w:rsidR="0063315F" w:rsidRPr="00FB41AB" w:rsidRDefault="0063315F" w:rsidP="0063315F">
            <w:r w:rsidRPr="00FB41AB">
              <w:lastRenderedPageBreak/>
              <w:t>Este în dificultate, în conformitate cu prevederile Regulamentului (UE) nr. 651/2014 al Comisiei din 17 iunie 2014 de declarare a anumitor categorii de ajutoare compatibile cu piața internă în aplicarea articolelor 107 și 108 din tratat, și anume:</w:t>
            </w:r>
          </w:p>
          <w:p w:rsidR="0063315F" w:rsidRPr="00FB41AB" w:rsidRDefault="0063315F" w:rsidP="0063315F">
            <w:r w:rsidRPr="00FB41AB">
              <w:t>(I)</w:t>
            </w:r>
            <w:r w:rsidRPr="00FB41AB">
              <w:rPr>
                <w:i/>
                <w:u w:val="single"/>
              </w:rPr>
              <w:t xml:space="preserve"> [doar pentru întreprinderi care au, la data declarației, cel puțin 3 ani de la înființare]</w:t>
            </w:r>
            <w:r w:rsidRPr="00FB41AB">
              <w:t xml:space="preserve"> 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rsidR="0063315F" w:rsidRPr="00FB41AB" w:rsidRDefault="0063315F" w:rsidP="0063315F">
            <w:r w:rsidRPr="00FB41AB">
              <w:t xml:space="preserve">(II) </w:t>
            </w:r>
            <w:r w:rsidRPr="00FB41AB">
              <w:rPr>
                <w:i/>
                <w:u w:val="single"/>
              </w:rPr>
              <w:t>[doar pentru întreprinderi care au, la data declarației, cel puțin 3 ani de la înființare]</w:t>
            </w:r>
            <w:r w:rsidRPr="00FB41AB">
              <w:t xml:space="preserve"> în cazul unei societăți comerciale în care cel puțin unii dintre </w:t>
            </w:r>
            <w:r w:rsidRPr="00FB41AB">
              <w:lastRenderedPageBreak/>
              <w:t>asociați au răspundere nelimitată pentru datoriile societății, atunci când mai mult de jumătate din capitalul propriu, astfel cum reiese din contabilitatea societății, a dispărut din cauza pierderilor acumulate;</w:t>
            </w:r>
          </w:p>
          <w:p w:rsidR="0063315F" w:rsidRPr="00FB41AB" w:rsidRDefault="0063315F" w:rsidP="0063315F">
            <w:r w:rsidRPr="00FB41AB">
              <w:t>(III) atunci când întreprinderea face obiectul unei proceduri colective de insolvență sau îndeplinește criteriile prevăzute de legislația națională pentru inițierea unei proceduri colective de insolvență la cererea creditori lor săi;</w:t>
            </w:r>
          </w:p>
          <w:p w:rsidR="00EE6F23" w:rsidRPr="00FB41AB" w:rsidRDefault="0063315F" w:rsidP="0063315F">
            <w:r w:rsidRPr="00FB41AB">
              <w:t>(IV) atunci când întreprinderea a primit ajutor pentru salvare și nu a rambursat încă împrumutul sau nu a încetat garanția sau a primit ajutoare pentru restructurare și face încă obiectul unui plan de restructurare.</w:t>
            </w:r>
          </w:p>
        </w:tc>
      </w:tr>
      <w:tr w:rsidR="008D6F8D" w:rsidRPr="00FB41AB" w:rsidTr="00B1724C">
        <w:tc>
          <w:tcPr>
            <w:tcW w:w="13994" w:type="dxa"/>
            <w:gridSpan w:val="3"/>
          </w:tcPr>
          <w:p w:rsidR="008D6F8D" w:rsidRPr="00FB41AB" w:rsidRDefault="00AD4DAC" w:rsidP="00B3505F">
            <w:pPr>
              <w:jc w:val="center"/>
            </w:pPr>
            <w:r w:rsidRPr="00FB41AB">
              <w:rPr>
                <w:b/>
                <w:i/>
              </w:rPr>
              <w:lastRenderedPageBreak/>
              <w:t xml:space="preserve">Sectiunea 4. Completarea cererii de finanțare, </w:t>
            </w:r>
            <w:r w:rsidR="003513B9" w:rsidRPr="00FB41AB">
              <w:rPr>
                <w:b/>
                <w:i/>
              </w:rPr>
              <w:t xml:space="preserve">Anexele obligatorii, </w:t>
            </w:r>
            <w:r w:rsidRPr="00FB41AB">
              <w:rPr>
                <w:b/>
                <w:i/>
              </w:rPr>
              <w:t xml:space="preserve">pct. </w:t>
            </w:r>
            <w:r w:rsidR="00B3505F" w:rsidRPr="00FB41AB">
              <w:rPr>
                <w:b/>
                <w:i/>
              </w:rPr>
              <w:t>15</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7E3738" w:rsidRPr="00FB41AB" w:rsidRDefault="00326AE9" w:rsidP="007E3738">
            <w:r w:rsidRPr="00FB41AB">
              <w:t>”</w:t>
            </w:r>
            <w:r w:rsidR="007E3738" w:rsidRPr="00FB41AB">
              <w:t>(Pentru proiecte care includ execuția de lucrări de construcții, care se supun autorizării)</w:t>
            </w:r>
          </w:p>
          <w:p w:rsidR="007E3738" w:rsidRPr="00FB41AB" w:rsidRDefault="007E3738" w:rsidP="002B0F7F">
            <w:r w:rsidRPr="00FB41AB">
              <w:t>Documentele cadastrale şi înregistrarea imobilelor în registre</w:t>
            </w:r>
            <w:r w:rsidR="002B0F7F" w:rsidRPr="00FB41AB">
              <w:t xml:space="preserve"> (…)</w:t>
            </w:r>
          </w:p>
        </w:tc>
        <w:tc>
          <w:tcPr>
            <w:tcW w:w="6911" w:type="dxa"/>
          </w:tcPr>
          <w:p w:rsidR="001446D8" w:rsidRPr="00FB41AB" w:rsidRDefault="001446D8" w:rsidP="002B0F7F">
            <w:r w:rsidRPr="00FB41AB">
              <w:t>(Pentru proiecte care includ execuția de lucrări de construcții, care se supun autorizării) Documentele cadastrale şi înregistrarea imobilelor în registre</w:t>
            </w:r>
            <w:r w:rsidR="002B0F7F" w:rsidRPr="00FB41AB">
              <w:t xml:space="preserve"> (…)</w:t>
            </w:r>
          </w:p>
          <w:p w:rsidR="00EE6F23" w:rsidRPr="00FB41AB" w:rsidRDefault="009D0F97" w:rsidP="001446D8">
            <w:pPr>
              <w:rPr>
                <w:i/>
              </w:rPr>
            </w:pPr>
            <w:r w:rsidRPr="009D0F97">
              <w:rPr>
                <w:i/>
              </w:rPr>
              <w:t xml:space="preserve">Se acceptă înscrierea provizorie în cartea funciară doar a dreptului de proprietate, cu condiția depunerii unui extras de carte funciară cu înscrierea definitivă a dreptului respectiv, cel mai târziu în termen de maximum 30 de zile lucrătoare de la primirea notificării privind demararea etapei precontractuale, în conformitate cu prevederile secțiunii 8.5 ”Etapa precontractuală” din Ghidul general, în caz contrar proiectul fiind respins. Nu se acceptă înscrierea provizorie a celorlalte drepturi reale/ de creanță menționate în cadrul secțiunii 3.2 ”Eligibilitatea solicitantului”, la punctul 7, lit. c) din cadrul prezentului ghid. </w:t>
            </w:r>
          </w:p>
        </w:tc>
      </w:tr>
      <w:tr w:rsidR="00326AE9" w:rsidRPr="00FB41AB" w:rsidTr="00A31D0A">
        <w:tc>
          <w:tcPr>
            <w:tcW w:w="13994" w:type="dxa"/>
            <w:gridSpan w:val="3"/>
          </w:tcPr>
          <w:p w:rsidR="00326AE9" w:rsidRPr="00FB41AB" w:rsidRDefault="009B747E" w:rsidP="009B747E">
            <w:pPr>
              <w:jc w:val="center"/>
            </w:pPr>
            <w:r w:rsidRPr="00FB41AB">
              <w:rPr>
                <w:b/>
                <w:i/>
              </w:rPr>
              <w:t>Sectiunea 4. Completarea cererii de finanțare, Anexele obligatorii – etapa contractuala, pct. 2</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326AE9" w:rsidRPr="00FB41AB" w:rsidRDefault="00326AE9" w:rsidP="00326AE9">
            <w:r w:rsidRPr="00FB41AB">
              <w:t>”(Pentru proiecte care includ execuția de lucrări de construcții care se supun autorizării)</w:t>
            </w:r>
          </w:p>
          <w:p w:rsidR="00EE6F23" w:rsidRPr="00FB41AB" w:rsidRDefault="00326AE9" w:rsidP="00326AE9">
            <w:r w:rsidRPr="00FB41AB">
              <w:t>Extras de carte funciară, emis cu maximum 30 de zile înaintea depunerii”</w:t>
            </w:r>
          </w:p>
        </w:tc>
        <w:tc>
          <w:tcPr>
            <w:tcW w:w="6911" w:type="dxa"/>
          </w:tcPr>
          <w:p w:rsidR="00326AE9" w:rsidRPr="00FB41AB" w:rsidRDefault="00326AE9" w:rsidP="00326AE9">
            <w:r w:rsidRPr="00FB41AB">
              <w:t xml:space="preserve">(Pentru proiecte care includ execuția de lucrări de construcții care se supun autorizării) </w:t>
            </w:r>
          </w:p>
          <w:p w:rsidR="00326AE9" w:rsidRPr="00FB41AB" w:rsidRDefault="00326AE9" w:rsidP="00326AE9">
            <w:r w:rsidRPr="00FB41AB">
              <w:t xml:space="preserve">Extras de carte funciară, emis cu maximum 30 de zile înaintea depunerii. </w:t>
            </w:r>
          </w:p>
          <w:p w:rsidR="00EE6F23" w:rsidRPr="00FB41AB" w:rsidRDefault="00C87447" w:rsidP="00C87447">
            <w:r w:rsidRPr="00FB41AB">
              <w:rPr>
                <w:i/>
              </w:rPr>
              <w:t>In cazul in car</w:t>
            </w:r>
            <w:r w:rsidR="00326AE9" w:rsidRPr="00FB41AB">
              <w:rPr>
                <w:i/>
              </w:rPr>
              <w:t xml:space="preserve">e la depunerea cererii de finanțare s-a prezenatnt extras de carte funciară cu inscriere provizorie a dreptului de proprietate, se va prezenta extrasul din care să rezulte inscrierea definitivă a dreptului respectiv. Este obligatorie îndeplinirea condiției privind înscrierea definitivă </w:t>
            </w:r>
            <w:r w:rsidR="00326AE9" w:rsidRPr="00FB41AB">
              <w:rPr>
                <w:i/>
              </w:rPr>
              <w:lastRenderedPageBreak/>
              <w:t>a dreptului de proprietate și depunerea extraselor de carte funciară aferente cel mai târziu în termenul maxim de 30</w:t>
            </w:r>
            <w:r w:rsidRPr="00FB41AB">
              <w:rPr>
                <w:i/>
              </w:rPr>
              <w:t xml:space="preserve"> de</w:t>
            </w:r>
            <w:r w:rsidR="00326AE9" w:rsidRPr="00FB41AB">
              <w:rPr>
                <w:i/>
              </w:rPr>
              <w:t xml:space="preserve"> zile lucrătoare de la data primirii notificării privind demararea etapei precontractuale în conformitate cu prevederile secțiunii 8.5 Etapa precontractuală din ghidul general.</w:t>
            </w:r>
          </w:p>
        </w:tc>
      </w:tr>
      <w:tr w:rsidR="009D0F97" w:rsidRPr="00FB41AB" w:rsidTr="0032487E">
        <w:tc>
          <w:tcPr>
            <w:tcW w:w="13994" w:type="dxa"/>
            <w:gridSpan w:val="3"/>
          </w:tcPr>
          <w:p w:rsidR="009D0F97" w:rsidRPr="00FB41AB" w:rsidRDefault="009D0F97" w:rsidP="0032487E">
            <w:pPr>
              <w:jc w:val="center"/>
            </w:pPr>
            <w:r w:rsidRPr="00FB41AB">
              <w:rPr>
                <w:b/>
                <w:i/>
              </w:rPr>
              <w:lastRenderedPageBreak/>
              <w:t>Sectiunea 4. Completarea cererii de finanțare, Anexele obligato</w:t>
            </w:r>
            <w:r>
              <w:rPr>
                <w:b/>
                <w:i/>
              </w:rPr>
              <w:t>rii – etapa contractuala, pct. 14</w:t>
            </w:r>
          </w:p>
        </w:tc>
      </w:tr>
      <w:tr w:rsidR="009D0F97" w:rsidRPr="00FB41AB" w:rsidTr="0032487E">
        <w:tc>
          <w:tcPr>
            <w:tcW w:w="562" w:type="dxa"/>
          </w:tcPr>
          <w:p w:rsidR="009D0F97" w:rsidRPr="00FB41AB" w:rsidRDefault="009D0F97" w:rsidP="0032487E">
            <w:pPr>
              <w:pStyle w:val="ListParagraph"/>
              <w:numPr>
                <w:ilvl w:val="0"/>
                <w:numId w:val="1"/>
              </w:numPr>
              <w:ind w:left="360"/>
            </w:pPr>
          </w:p>
        </w:tc>
        <w:tc>
          <w:tcPr>
            <w:tcW w:w="6521" w:type="dxa"/>
          </w:tcPr>
          <w:p w:rsidR="009D0F97" w:rsidRPr="00FB41AB" w:rsidRDefault="009D0F97" w:rsidP="00AB0490">
            <w:r w:rsidRPr="00FB41AB">
              <w:t>”</w:t>
            </w:r>
            <w:r>
              <w:t>Declarația privind modificările intervenite în cursul procesului de evaluare și selecție a cererii de finanțare</w:t>
            </w:r>
            <w:r w:rsidRPr="00FB41AB">
              <w:t>”</w:t>
            </w:r>
          </w:p>
        </w:tc>
        <w:tc>
          <w:tcPr>
            <w:tcW w:w="6911" w:type="dxa"/>
          </w:tcPr>
          <w:p w:rsidR="009D0F97" w:rsidRPr="009D0F97" w:rsidRDefault="009D0F97" w:rsidP="0032487E">
            <w:pPr>
              <w:rPr>
                <w:i/>
              </w:rPr>
            </w:pPr>
            <w:r w:rsidRPr="009D0F97">
              <w:rPr>
                <w:i/>
              </w:rPr>
              <w:t>Declaraţia reprezentantului legal prin care se certifică faptul că, pe parcursul procesului de evaluare şi selecţie au fost/ nu au fost înregistrate modificări asupra unora sau a tuturor documentelor depuse la cererea de finanţare (acolo unde este cazul). Documentul se depune în etapa precontractuală și nu va face parte din contractul de finanțare.</w:t>
            </w:r>
          </w:p>
        </w:tc>
      </w:tr>
      <w:tr w:rsidR="00326AE9" w:rsidRPr="00FB41AB" w:rsidTr="00A76625">
        <w:tc>
          <w:tcPr>
            <w:tcW w:w="13994" w:type="dxa"/>
            <w:gridSpan w:val="3"/>
          </w:tcPr>
          <w:p w:rsidR="00326AE9" w:rsidRPr="00FB41AB" w:rsidRDefault="00D04C25" w:rsidP="00D04C25">
            <w:pPr>
              <w:jc w:val="center"/>
            </w:pPr>
            <w:r w:rsidRPr="00FB41AB">
              <w:rPr>
                <w:b/>
                <w:i/>
              </w:rPr>
              <w:t>Sectiunea 5. Procesul de evaluare, selecție și contractare a proiectelor</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E6F23" w:rsidRPr="00FB41AB" w:rsidRDefault="007C404A" w:rsidP="007C404A">
            <w:r w:rsidRPr="00FB41AB">
              <w:t>Baza legală aplicabilă la a</w:t>
            </w:r>
            <w:r w:rsidR="000F6B1B" w:rsidRPr="00FB41AB">
              <w:t>trib</w:t>
            </w:r>
            <w:r w:rsidRPr="00FB41AB">
              <w:t>uirea contractelor de achiziție</w:t>
            </w:r>
          </w:p>
        </w:tc>
        <w:tc>
          <w:tcPr>
            <w:tcW w:w="6911" w:type="dxa"/>
          </w:tcPr>
          <w:p w:rsidR="00EE6F23" w:rsidRPr="00FB41AB" w:rsidRDefault="007C404A" w:rsidP="007C404A">
            <w:r w:rsidRPr="00FB41AB">
              <w:t>Completarea cu referința la Ordinul ministrului fondurilor europene nr. 1284/2016 privind aprobarea Procedurii competitive aplicabile solicitanţilor/beneficiarilor privaţi pentru atribuirea contractelor de furnizare, servicii sau lucrări finanţate din fonduri europene</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E6F23" w:rsidRPr="00FB41AB" w:rsidRDefault="002225F2" w:rsidP="00A512AD">
            <w:r w:rsidRPr="00FB41AB">
              <w:t>Sintagma ”perioada de valabilitate a contractului”</w:t>
            </w:r>
          </w:p>
        </w:tc>
        <w:tc>
          <w:tcPr>
            <w:tcW w:w="6911" w:type="dxa"/>
          </w:tcPr>
          <w:p w:rsidR="00EE6F23" w:rsidRPr="00FB41AB" w:rsidRDefault="001B2F8E">
            <w:r w:rsidRPr="00FB41AB">
              <w:t>Înlocuire cu ”perioada de durabilitate a proiectului”</w:t>
            </w:r>
          </w:p>
        </w:tc>
      </w:tr>
      <w:tr w:rsidR="008A5057" w:rsidRPr="00FB41AB" w:rsidTr="008B3100">
        <w:tc>
          <w:tcPr>
            <w:tcW w:w="13994" w:type="dxa"/>
            <w:gridSpan w:val="3"/>
          </w:tcPr>
          <w:p w:rsidR="008A5057" w:rsidRPr="00FB41AB" w:rsidRDefault="008A5057" w:rsidP="008A5057">
            <w:pPr>
              <w:jc w:val="center"/>
              <w:rPr>
                <w:b/>
                <w:i/>
              </w:rPr>
            </w:pPr>
            <w:r w:rsidRPr="00FB41AB">
              <w:rPr>
                <w:b/>
                <w:i/>
              </w:rPr>
              <w:t>Anexa 1-5-a Plan de afaceri-Macheta</w:t>
            </w:r>
          </w:p>
        </w:tc>
      </w:tr>
      <w:tr w:rsidR="008A5057" w:rsidRPr="00FB41AB" w:rsidTr="008B3100">
        <w:tc>
          <w:tcPr>
            <w:tcW w:w="562" w:type="dxa"/>
          </w:tcPr>
          <w:p w:rsidR="008A5057" w:rsidRPr="00FB41AB" w:rsidRDefault="008A5057" w:rsidP="008B3100">
            <w:pPr>
              <w:pStyle w:val="ListParagraph"/>
              <w:numPr>
                <w:ilvl w:val="0"/>
                <w:numId w:val="1"/>
              </w:numPr>
              <w:ind w:left="360"/>
            </w:pPr>
          </w:p>
        </w:tc>
        <w:tc>
          <w:tcPr>
            <w:tcW w:w="6521" w:type="dxa"/>
          </w:tcPr>
          <w:p w:rsidR="008A5057" w:rsidRPr="00FB41AB" w:rsidRDefault="000F2654" w:rsidP="000F2654">
            <w:r w:rsidRPr="00FB41AB">
              <w:t>Foaia de lucru 1E - Verificarea încadrării solicitantului în categoria întreprinderilor în dificultate</w:t>
            </w:r>
          </w:p>
        </w:tc>
        <w:tc>
          <w:tcPr>
            <w:tcW w:w="6911" w:type="dxa"/>
          </w:tcPr>
          <w:p w:rsidR="008A5057" w:rsidRPr="00FB41AB" w:rsidRDefault="000F2654" w:rsidP="000F2654">
            <w:r w:rsidRPr="00FB41AB">
              <w:t>Revizuirea formulei de calcul din linia 21 a foii de lucru, pentru clarificarea modalității de aplicare și interpretare a încadrării solicitantului în categoria întreprinderilor în dificultate</w:t>
            </w:r>
          </w:p>
        </w:tc>
      </w:tr>
      <w:tr w:rsidR="00AC0CAE" w:rsidRPr="00FB41AB" w:rsidTr="00D86D3B">
        <w:tc>
          <w:tcPr>
            <w:tcW w:w="13994" w:type="dxa"/>
            <w:gridSpan w:val="3"/>
          </w:tcPr>
          <w:p w:rsidR="00AC0CAE" w:rsidRPr="00FB41AB" w:rsidRDefault="00BF2623" w:rsidP="001E56D1">
            <w:pPr>
              <w:jc w:val="center"/>
              <w:rPr>
                <w:b/>
                <w:i/>
              </w:rPr>
            </w:pPr>
            <w:r w:rsidRPr="00FB41AB">
              <w:rPr>
                <w:b/>
                <w:i/>
              </w:rPr>
              <w:t xml:space="preserve">Anexa 5 la GS </w:t>
            </w:r>
            <w:r w:rsidR="001E56D1" w:rsidRPr="00FB41AB">
              <w:rPr>
                <w:b/>
                <w:i/>
              </w:rPr>
              <w:t>–</w:t>
            </w:r>
            <w:r w:rsidRPr="00FB41AB">
              <w:rPr>
                <w:b/>
                <w:i/>
              </w:rPr>
              <w:t xml:space="preserve"> </w:t>
            </w:r>
            <w:r w:rsidR="001E56D1" w:rsidRPr="00FB41AB">
              <w:rPr>
                <w:b/>
                <w:i/>
              </w:rPr>
              <w:t>Contract de finantare</w:t>
            </w:r>
            <w:r w:rsidR="00FB41AB" w:rsidRPr="00FB41AB">
              <w:rPr>
                <w:b/>
                <w:i/>
              </w:rPr>
              <w:t xml:space="preserve"> (model orientativ)</w:t>
            </w:r>
            <w:r w:rsidR="00355EF8">
              <w:rPr>
                <w:b/>
                <w:i/>
              </w:rPr>
              <w:t xml:space="preserve"> - </w:t>
            </w:r>
            <w:r w:rsidR="00355EF8" w:rsidRPr="00FB41AB">
              <w:rPr>
                <w:b/>
                <w:i/>
              </w:rPr>
              <w:t>Sectiunea ”Anexa 1 – Conditii specifice” - Art. 2, pct 6 și Art. 3, pct. 1</w:t>
            </w:r>
          </w:p>
        </w:tc>
      </w:tr>
      <w:tr w:rsidR="001B2F8E" w:rsidTr="00EE6F23">
        <w:tc>
          <w:tcPr>
            <w:tcW w:w="562" w:type="dxa"/>
          </w:tcPr>
          <w:p w:rsidR="001B2F8E" w:rsidRPr="00FB41AB" w:rsidRDefault="001B2F8E" w:rsidP="001B2F8E">
            <w:pPr>
              <w:pStyle w:val="ListParagraph"/>
              <w:numPr>
                <w:ilvl w:val="0"/>
                <w:numId w:val="1"/>
              </w:numPr>
              <w:ind w:left="360"/>
            </w:pPr>
          </w:p>
        </w:tc>
        <w:tc>
          <w:tcPr>
            <w:tcW w:w="6521" w:type="dxa"/>
          </w:tcPr>
          <w:p w:rsidR="001B2F8E" w:rsidRPr="00FB41AB" w:rsidRDefault="001B2F8E" w:rsidP="001B2F8E">
            <w:r w:rsidRPr="00FB41AB">
              <w:t>Sintagma ”perioada de durabilitate a contractului”</w:t>
            </w:r>
          </w:p>
        </w:tc>
        <w:tc>
          <w:tcPr>
            <w:tcW w:w="6911" w:type="dxa"/>
          </w:tcPr>
          <w:p w:rsidR="001B2F8E" w:rsidRPr="001B2F8E" w:rsidRDefault="001B2F8E" w:rsidP="001B2F8E">
            <w:r w:rsidRPr="00FB41AB">
              <w:t>Înlocuire cu ”perioada de durabilitate a proiectului”</w:t>
            </w:r>
          </w:p>
        </w:tc>
      </w:tr>
    </w:tbl>
    <w:p w:rsidR="00F14265" w:rsidRDefault="00F14265"/>
    <w:sectPr w:rsidR="00F14265" w:rsidSect="00A65A5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6AE"/>
    <w:multiLevelType w:val="hybridMultilevel"/>
    <w:tmpl w:val="EA50BA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A713A2"/>
    <w:multiLevelType w:val="hybridMultilevel"/>
    <w:tmpl w:val="5650CC82"/>
    <w:lvl w:ilvl="0" w:tplc="0418000F">
      <w:start w:val="1"/>
      <w:numFmt w:val="decimal"/>
      <w:lvlText w:val="%1."/>
      <w:lvlJc w:val="left"/>
      <w:pPr>
        <w:ind w:left="757" w:hanging="360"/>
      </w:p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6"/>
    <w:rsid w:val="000F2654"/>
    <w:rsid w:val="000F6B1B"/>
    <w:rsid w:val="000F6E8C"/>
    <w:rsid w:val="001446D8"/>
    <w:rsid w:val="001A1112"/>
    <w:rsid w:val="001B2F8E"/>
    <w:rsid w:val="001E56D1"/>
    <w:rsid w:val="002225F2"/>
    <w:rsid w:val="00274E31"/>
    <w:rsid w:val="00296858"/>
    <w:rsid w:val="002A0F78"/>
    <w:rsid w:val="002B0F7F"/>
    <w:rsid w:val="00326AE9"/>
    <w:rsid w:val="003513B9"/>
    <w:rsid w:val="00354AA3"/>
    <w:rsid w:val="00355EF8"/>
    <w:rsid w:val="003E3935"/>
    <w:rsid w:val="00450280"/>
    <w:rsid w:val="0049248F"/>
    <w:rsid w:val="004C3FD0"/>
    <w:rsid w:val="004C4487"/>
    <w:rsid w:val="00501842"/>
    <w:rsid w:val="0056395E"/>
    <w:rsid w:val="005C2B5A"/>
    <w:rsid w:val="0063315F"/>
    <w:rsid w:val="0072772C"/>
    <w:rsid w:val="00756B7A"/>
    <w:rsid w:val="00766869"/>
    <w:rsid w:val="007C404A"/>
    <w:rsid w:val="007E3738"/>
    <w:rsid w:val="00824984"/>
    <w:rsid w:val="008A5057"/>
    <w:rsid w:val="008D6F8D"/>
    <w:rsid w:val="009B747E"/>
    <w:rsid w:val="009D0F97"/>
    <w:rsid w:val="009F3242"/>
    <w:rsid w:val="00A512AD"/>
    <w:rsid w:val="00A64FF7"/>
    <w:rsid w:val="00A65A53"/>
    <w:rsid w:val="00A977AA"/>
    <w:rsid w:val="00AB0490"/>
    <w:rsid w:val="00AC0CAE"/>
    <w:rsid w:val="00AC52B9"/>
    <w:rsid w:val="00AD4DAC"/>
    <w:rsid w:val="00B15EBA"/>
    <w:rsid w:val="00B3505F"/>
    <w:rsid w:val="00B50C32"/>
    <w:rsid w:val="00BF2623"/>
    <w:rsid w:val="00C6484B"/>
    <w:rsid w:val="00C87447"/>
    <w:rsid w:val="00CD7C2D"/>
    <w:rsid w:val="00CF0913"/>
    <w:rsid w:val="00D04C25"/>
    <w:rsid w:val="00DF50EB"/>
    <w:rsid w:val="00E12A26"/>
    <w:rsid w:val="00E57560"/>
    <w:rsid w:val="00EE6F23"/>
    <w:rsid w:val="00EF2B45"/>
    <w:rsid w:val="00F14265"/>
    <w:rsid w:val="00FB41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6AA01-385C-4E10-BBD4-93E2557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 Sanda</dc:creator>
  <cp:keywords/>
  <dc:description/>
  <cp:lastModifiedBy>Gabriela Bobeanu</cp:lastModifiedBy>
  <cp:revision>2</cp:revision>
  <dcterms:created xsi:type="dcterms:W3CDTF">2016-10-13T11:59:00Z</dcterms:created>
  <dcterms:modified xsi:type="dcterms:W3CDTF">2016-10-13T11:59:00Z</dcterms:modified>
</cp:coreProperties>
</file>