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DBC9F" w14:textId="77777777" w:rsidR="000101EE" w:rsidRPr="000101EE" w:rsidRDefault="000101EE" w:rsidP="000101EE">
      <w:pPr>
        <w:shd w:val="clear" w:color="auto" w:fill="FFFFFF"/>
        <w:spacing w:before="150" w:after="150" w:line="240" w:lineRule="auto"/>
        <w:outlineLvl w:val="3"/>
        <w:rPr>
          <w:rFonts w:ascii="Raleway" w:eastAsia="Times New Roman" w:hAnsi="Raleway" w:cs="Open Sans"/>
          <w:color w:val="333333"/>
          <w:sz w:val="35"/>
          <w:szCs w:val="35"/>
        </w:rPr>
      </w:pPr>
      <w:r w:rsidRPr="000101EE">
        <w:rPr>
          <w:rFonts w:ascii="Raleway" w:eastAsia="Times New Roman" w:hAnsi="Raleway" w:cs="Open Sans"/>
          <w:color w:val="333333"/>
          <w:sz w:val="35"/>
          <w:szCs w:val="35"/>
        </w:rPr>
        <w:t>ÎNTREB</w:t>
      </w:r>
      <w:r w:rsidRPr="000101EE">
        <w:rPr>
          <w:rFonts w:ascii="Calibri" w:eastAsia="Times New Roman" w:hAnsi="Calibri" w:cs="Calibri"/>
          <w:color w:val="333333"/>
          <w:sz w:val="35"/>
          <w:szCs w:val="35"/>
        </w:rPr>
        <w:t>Ă</w:t>
      </w:r>
      <w:r w:rsidRPr="000101EE">
        <w:rPr>
          <w:rFonts w:ascii="Raleway" w:eastAsia="Times New Roman" w:hAnsi="Raleway" w:cs="Open Sans"/>
          <w:color w:val="333333"/>
          <w:sz w:val="35"/>
          <w:szCs w:val="35"/>
        </w:rPr>
        <w:t>RI PRIVIND APLICARE OUG 64/2022</w:t>
      </w:r>
    </w:p>
    <w:p w14:paraId="4EB9C467" w14:textId="77777777" w:rsidR="000101EE" w:rsidRPr="000101EE" w:rsidRDefault="000101EE" w:rsidP="000101EE">
      <w:pPr>
        <w:shd w:val="clear" w:color="auto" w:fill="FFFFFF"/>
        <w:spacing w:line="300" w:lineRule="atLeast"/>
        <w:ind w:left="720" w:right="75"/>
        <w:rPr>
          <w:rFonts w:ascii="Open Sans" w:eastAsia="Times New Roman" w:hAnsi="Open Sans" w:cs="Open Sans"/>
          <w:color w:val="666666"/>
          <w:sz w:val="18"/>
          <w:szCs w:val="18"/>
        </w:rPr>
      </w:pPr>
      <w:r w:rsidRPr="000101EE">
        <w:rPr>
          <w:rFonts w:ascii="Open Sans" w:eastAsia="Times New Roman" w:hAnsi="Open Sans" w:cs="Open Sans"/>
          <w:color w:val="666666"/>
          <w:sz w:val="18"/>
          <w:szCs w:val="18"/>
        </w:rPr>
        <w:t xml:space="preserve"> 12 </w:t>
      </w:r>
      <w:proofErr w:type="spellStart"/>
      <w:r w:rsidRPr="000101EE">
        <w:rPr>
          <w:rFonts w:ascii="Open Sans" w:eastAsia="Times New Roman" w:hAnsi="Open Sans" w:cs="Open Sans"/>
          <w:color w:val="666666"/>
          <w:sz w:val="18"/>
          <w:szCs w:val="18"/>
        </w:rPr>
        <w:t>Septembrie</w:t>
      </w:r>
      <w:proofErr w:type="spellEnd"/>
      <w:r w:rsidRPr="000101EE">
        <w:rPr>
          <w:rFonts w:ascii="Open Sans" w:eastAsia="Times New Roman" w:hAnsi="Open Sans" w:cs="Open Sans"/>
          <w:color w:val="666666"/>
          <w:sz w:val="18"/>
          <w:szCs w:val="18"/>
        </w:rPr>
        <w:t xml:space="preserve"> 2022</w:t>
      </w:r>
    </w:p>
    <w:p w14:paraId="47B0767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 1</w:t>
      </w: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</w:t>
      </w:r>
    </w:p>
    <w:p w14:paraId="57BC8A6A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La art. 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8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menționează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„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încadrează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capitolul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diverse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nici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eligibile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neeligibile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75%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eligibilă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condițiile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”. </w:t>
      </w:r>
    </w:p>
    <w:p w14:paraId="7716FBA4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un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componente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curs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componente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de-a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doua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componentă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reluarea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procedurii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un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75%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eligibilă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nici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nici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diverse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 cum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facturate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primul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contract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componenta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1? </w:t>
      </w:r>
    </w:p>
    <w:p w14:paraId="47C0BB70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anumite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/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capitolul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diverse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sumele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aferente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transferate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aferentă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?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Concret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înregistrat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14/44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14/46,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transferate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15/53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calculate conform OUG 64? </w:t>
      </w:r>
    </w:p>
    <w:p w14:paraId="47E3911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 </w:t>
      </w:r>
    </w:p>
    <w:p w14:paraId="00417A7F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condițiile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la art. 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(8)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precizează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act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efectuează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numai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75%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eligibilă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o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doua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componentă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există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posibilitatea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cap. V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investițiidin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 precum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formulate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cap V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MDLPA nr. 1586/10.08.2022. </w:t>
      </w:r>
    </w:p>
    <w:p w14:paraId="6B04FF8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opinia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noastră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descrisă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teoretică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condițiile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existența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componente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concomitent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o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componentă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(lot)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nelansată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presupune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Diverse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conține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sume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neutilizate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39CBAA06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anumite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capitolul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Diverse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transfera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categoriile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create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categoria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15/310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natura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instalații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),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AMPOR. </w:t>
      </w:r>
    </w:p>
    <w:p w14:paraId="55467115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cap. VI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MDPLA nr. 1586/2022.</w:t>
      </w:r>
    </w:p>
    <w:p w14:paraId="0A6D28B8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2:</w:t>
      </w:r>
    </w:p>
    <w:p w14:paraId="18BFD883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La art. 3,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13,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punctul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d)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menționează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„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dovada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creșterii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costurilor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cărora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s-a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fundamentat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inițial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elementele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semnificative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cost 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acestuia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”. </w:t>
      </w:r>
    </w:p>
    <w:p w14:paraId="12E1DFE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exemplificați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sintagma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„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elemente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semnificative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cost”.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atașate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fiecare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tip de material,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materialele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pondere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majoritară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un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anumit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număr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materiale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etc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?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asemenea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atașate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transport?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multe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tipuri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dotări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atașate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fiecare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?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dotări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înregistrat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creșteri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acceptă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integrală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indicilor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 conform OUG 64? </w:t>
      </w:r>
    </w:p>
    <w:p w14:paraId="7E56566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 </w:t>
      </w:r>
    </w:p>
    <w:p w14:paraId="513CEEC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privește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nota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justificativă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întocmita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10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43,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precizate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documente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demonstrarea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condițiilor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imprevizibilitate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 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(13),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latitudinea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contractorului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funcție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specificul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contractului.Totodata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modelul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justificativă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anexată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MDLPA nr. 1586/10.08.2022.</w:t>
      </w:r>
    </w:p>
    <w:p w14:paraId="29A127D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Recomandarea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privește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putin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elementele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constituitive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impact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 mare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articolul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nefiind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limitativ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sens.</w:t>
      </w:r>
      <w:proofErr w:type="spellEnd"/>
    </w:p>
    <w:p w14:paraId="2681BA3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Întrbarea3:</w:t>
      </w:r>
    </w:p>
    <w:p w14:paraId="59D0E34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La art. 3,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13,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punctul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d)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menționează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„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dovada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creșterii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costurilor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cărora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s-a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fundamentat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inițial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...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declarație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propria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răspundere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perioadă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facilități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mediului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afaceri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decătre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guvernele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rezidența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atenuării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efectelor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generate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...” </w:t>
      </w:r>
    </w:p>
    <w:p w14:paraId="3DAB45AD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exemple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facilități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mediului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afaceri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atenuării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efectelor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generate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exemplu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Programul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IMM Invest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considerat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 facilitate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mediului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afaceri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atenuării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efectelor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generate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? </w:t>
      </w:r>
    </w:p>
    <w:p w14:paraId="6E9CCA7F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1011636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aduse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109/13.07.2022,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sensul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(13)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litd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)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facilitățile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mediului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afaceri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nu au impact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asupra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compensării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costurilor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realizare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nicio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influență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asupra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activității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cauza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considera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operatorul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economic nu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asemenea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facilități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raport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</w:p>
    <w:p w14:paraId="061E0975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 4</w:t>
      </w: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</w:t>
      </w:r>
    </w:p>
    <w:p w14:paraId="495D8E18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Conform art. 7,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4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....„</w:t>
      </w:r>
      <w:proofErr w:type="spellStart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părțile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înceta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”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7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6 „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fondurilor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externe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nerambursabile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determina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condițiile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” </w:t>
      </w:r>
    </w:p>
    <w:p w14:paraId="2520F83A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 de la art. 17,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8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acoperă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creșterile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costurilor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considerent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s-a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decis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încetarea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7CDF83D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25D0ABFD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reziliate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nevoie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reluarea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procedurii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atribuire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precum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cap. V, art. 19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următoarele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17.</w:t>
      </w:r>
    </w:p>
    <w:p w14:paraId="5162D24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Totodată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modalitatea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,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indicii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prevazuti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Anexa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5la OUG 64/2022.</w:t>
      </w:r>
    </w:p>
    <w:p w14:paraId="57294DDF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 5:</w:t>
      </w:r>
    </w:p>
    <w:p w14:paraId="669D55AD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constituie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23%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64/2022 (la data de 11.05.2022)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s-au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perioada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cuprinsă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data de 11.05.2022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cuprinde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</w:p>
    <w:p w14:paraId="3CECBCBE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 </w:t>
      </w:r>
    </w:p>
    <w:p w14:paraId="6111984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ar. 9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(3)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reechilibrarea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constituie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initial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23%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momentul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 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OUG 64/2022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11.05.2022,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orice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lucrari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produse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ulterior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date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 17 din OUG 64/2022.</w:t>
      </w:r>
    </w:p>
    <w:p w14:paraId="7B0B615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 6:</w:t>
      </w:r>
    </w:p>
    <w:p w14:paraId="7EA20B03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Conform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articolului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9,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6 „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fondurilor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externe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nerambursabile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obligația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ține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evidență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distinctă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destinate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plății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atât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momentul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constituirii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cât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ulterior,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suplimentare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operarea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plăților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”. </w:t>
      </w:r>
    </w:p>
    <w:p w14:paraId="298D6C2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înseamnă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„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ținerea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evidențe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distincte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” </w:t>
      </w:r>
    </w:p>
    <w:p w14:paraId="317AC399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4DAE9D99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9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(7),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include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general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investiții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reglementat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HG nr. 907/2016.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evidența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ține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mod similar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evidența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general.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scopul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menținerii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evidențe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centralizatoarele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Anexa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nr.4 la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 MDLPA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1586/10.08.2022.</w:t>
      </w:r>
    </w:p>
    <w:p w14:paraId="3EE0C85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 7:</w:t>
      </w:r>
    </w:p>
    <w:p w14:paraId="50721EDF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de 11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2022,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termen de 60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transmită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adresă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aferente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/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calendaristică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maximă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transmite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adresă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termenul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60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împlinește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-o zi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nelucrătoare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</w:p>
    <w:p w14:paraId="4517417B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corespondență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sus,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termenul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maxim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semnare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calendaristică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limită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care se pot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semna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). </w:t>
      </w:r>
    </w:p>
    <w:p w14:paraId="2837D7D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015F0F0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aduse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109/2022,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termenul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60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calendaristice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 11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(1)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prelungit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90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Astfel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teremenul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limită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transmitere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10.08.2022. </w:t>
      </w:r>
    </w:p>
    <w:p w14:paraId="36CFFF18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termenul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 90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împlineșteintr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-o zi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nelucrătoare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perioada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avută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prelungește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prima zi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lucrătoare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termen. </w:t>
      </w:r>
    </w:p>
    <w:p w14:paraId="647A121C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/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11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(3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) ”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(3)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adiţionale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(2)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termen de 30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înregistrării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adresei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(1)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documentelor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justificative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aferente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.”.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Astfel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avand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mentionate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fiecare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obligatia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calculeze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termenele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care pot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incheia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aditionaletinand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care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primit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3A15B209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bookmarkStart w:id="0" w:name="_Hlk112666465"/>
      <w:bookmarkEnd w:id="0"/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8:</w:t>
      </w:r>
    </w:p>
    <w:p w14:paraId="6D5BD26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Conform art. 12,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f) „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....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beneficiarii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fondurilor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externe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nerambursabile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reface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analizele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cost-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considerare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rezulta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rata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internă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rentabilitate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negative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măsură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afecteze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major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sustenabilitatea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</w:p>
    <w:p w14:paraId="76A33F56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costurile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refacerea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analizelor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cost-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pot fi considerate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eligibile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pot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înregistrare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</w:p>
    <w:p w14:paraId="6FC1AD91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refăcute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machetele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documente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erau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obligatorii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depunere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conform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anexelor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Ghidul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Solicitantului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exemplu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depuse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3.1B, 8.3A,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etc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) </w:t>
      </w:r>
    </w:p>
    <w:p w14:paraId="742C8018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limitele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consideră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afectată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major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sustenabilitatea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</w:p>
    <w:p w14:paraId="6A3B12A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77467257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a. Nu,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costurile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refacerea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analizelor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cost-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sunt considerate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eligibile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649D7B39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b. Da.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macheta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conținând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analize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previziuni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obligatorie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depunerea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cererii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sustenabilitatea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făcut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criteriu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evaluare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tehnică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fundamentată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macheta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din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reiasă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menținerea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sustenabilității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088D3139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Sustenabilitatea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considerată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afectată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substanțial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previziunilor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machetei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rezultă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negative 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fluxului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numerar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cumulat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oricare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perioada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analiză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investiției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2BA6005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 9:</w:t>
      </w:r>
    </w:p>
    <w:p w14:paraId="1A670E8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considerare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3.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8 ”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încadrează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capitolul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diverse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nici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eligibile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neeligibile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75%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eligibilă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condițiile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”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împreună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13,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4 „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evidențiază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distinct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...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pot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efectua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plăți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numai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=” </w:t>
      </w:r>
    </w:p>
    <w:p w14:paraId="7EA40DA0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75%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eligibilă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pe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dotări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(15/53, 15/54,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etc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)? </w:t>
      </w:r>
    </w:p>
    <w:p w14:paraId="76ABBE1D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special create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MYSMIS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evidenția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din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scădea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întocmii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?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pe care s-au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(15/53, 15/54,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etc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completa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? </w:t>
      </w:r>
    </w:p>
    <w:p w14:paraId="35A95CA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3D53CE07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a)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acestora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Notificare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etapelor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descrise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MDLPA nr. 1586/2022, la cap. VI –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Metodologie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Menționăm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16 pasul N7,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aferente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(…)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introducerea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următoarelor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subcategorii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completate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sumele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fac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notificării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 </w:t>
      </w:r>
      <w:bookmarkStart w:id="1" w:name="_Hlk112671115"/>
      <w:bookmarkEnd w:id="1"/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categ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cheltuială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15/310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subcategoria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natura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contrucțiiși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instalații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;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categ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cheltuială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15/309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subcategoria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natura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5313C333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b) 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cap. VI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MDLPA 1586/2022 art. 16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 17, din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cităm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relevant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spețeipasul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N7 din art. 16 -Cu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ocazia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constituirii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categoria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Diverse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), precum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categoriile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aferente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investiției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s-au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transferat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sume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reconstituite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sumele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realocate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intermediul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Notificării.Valoarea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realocate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scădea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totală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intermediul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3834618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 10:</w:t>
      </w:r>
    </w:p>
    <w:p w14:paraId="4C8D73DE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contract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cuprinde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atât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cât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echipamente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dotări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folosi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?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folosi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art. 17,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8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litera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a),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dotări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folosi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art. 17,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8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litera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b?</w:t>
      </w:r>
    </w:p>
    <w:p w14:paraId="69A2FBF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2CA91749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folosi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singură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un contract.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trimitere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tipuri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servicii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produse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clasificare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definită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 3 lit. m), n), o)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98/2016. </w:t>
      </w:r>
    </w:p>
    <w:p w14:paraId="6DEF1C3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 11:</w:t>
      </w:r>
    </w:p>
    <w:p w14:paraId="091A5BE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Referitor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capitolul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V.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investiții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precum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 </w:t>
      </w:r>
    </w:p>
    <w:p w14:paraId="53435772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a. Se pot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4.5.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general)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lansare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/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reluate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? </w:t>
      </w:r>
    </w:p>
    <w:p w14:paraId="597E9DA9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procedură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echipamente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montaj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nu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lansată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se pot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atât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cuprind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cât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cuprind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echipamente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montaj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4.3.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general)? </w:t>
      </w:r>
    </w:p>
    <w:p w14:paraId="69732FCA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procedură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echipamente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montaj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dotări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care nu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lansata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se pot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atât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cuprind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cât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cuprind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echipamente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4.3.),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dotări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4.5)? </w:t>
      </w:r>
    </w:p>
    <w:p w14:paraId="02FD3898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4770DB63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nu face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distinctie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strict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anumitor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permite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acestora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ansamblu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4F9D395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reziliate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nevoie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reluarea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procedurii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atribuire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precum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cap. V, art. 19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următoarele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17.</w:t>
      </w:r>
    </w:p>
    <w:p w14:paraId="5DAD76F3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atribuire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produse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nu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demarate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reluate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legislativ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stabilit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completarea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 din OUG 64/2022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(4).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context,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etapele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descrise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MDLPA nr. 1586/2022 la art. 14 precum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Anexei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8,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cuprinde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exemple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începând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pag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42 -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Exemple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produse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62B938E5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Întrbarea12:</w:t>
      </w:r>
    </w:p>
    <w:p w14:paraId="76C8834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Referitor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art. 17,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8, lit.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comunicați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Vpl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–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plății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depunerii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reprezintă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integrală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deduse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directe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indirecte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05603B3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57CB93E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Vpl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- –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plății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depunerii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reprezintă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fără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TVA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rambursare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37F5DB3C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13:</w:t>
      </w:r>
    </w:p>
    <w:p w14:paraId="6DE87039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Art. 3 din OUG 64/2022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(6)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privaţi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prevăzuţi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(4)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(5), care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atribuit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achiziţii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scheme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stat, pot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numai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scheme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stat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încadrează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condiţiile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conform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regulilor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stat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relevante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 precum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plafoanele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specifice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stat.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Eventualele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preţ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plafoanele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specifice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schemelor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stat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suporta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privaţi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propriu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09263C5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Întrucât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reglementare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priveșteajutorul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stat,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fără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menționa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mod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expres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minimis,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abordări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unitare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răspunsul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solicitanții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POR,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clarificați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cazulbeneficiarilor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POR 2014-2020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schema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minimis,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condiționate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realizate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limita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plafonului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minimis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stabilit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ghidul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solicitantului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depășirile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plafoane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suportate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privaţi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propriu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1AE56C03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6E6D6E7A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1.4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(6)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(7) din OUG nr. 64/2022,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incheiateca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schemelor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stat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inchise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31.12.2021,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64/2022 nu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Precizam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schemele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stat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POR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sunt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închise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31.12.2021.</w:t>
      </w:r>
    </w:p>
    <w:p w14:paraId="773431C8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Întrucât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minimis,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Regulamentului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1407/2014,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constituie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stat,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sensul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art107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(1) din TFUE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Secțiunea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2 –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Ajutoarele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stat),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nr. 64/2022 nu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schemelor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minimis 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POR.</w:t>
      </w:r>
    </w:p>
    <w:p w14:paraId="2866C26A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achizitii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MDLPA nr. 1586/2022, cap. VI –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Metodologie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093D209F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 14:</w:t>
      </w:r>
    </w:p>
    <w:p w14:paraId="09192B83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fonduri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externe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nerambursabile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rugămintea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sprijiniți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interpretarea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Cap. V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reglementare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 </w:t>
      </w:r>
    </w:p>
    <w:p w14:paraId="25A6F976" w14:textId="77777777" w:rsidR="000101EE" w:rsidRPr="000101EE" w:rsidRDefault="000101EE" w:rsidP="000101E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-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singura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nelansată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are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4.5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general)?</w:t>
      </w:r>
    </w:p>
    <w:p w14:paraId="11BCF88A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Menționăm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dotările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cauză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sunt destinate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echipării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specifice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obiectivului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investiție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derulare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1997835A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Problema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identificată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POR 2014-2020,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autorități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6496D688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09B0FA2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nu face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distinctie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strict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anumitor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permite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acestora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ansamblu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6579360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atribuire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produse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nu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demarate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reluate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legislativ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stabilit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completarea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 din OUG 64/2022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(4).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context,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etapele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descrise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MDLPA nr. 1586/2022 la art. 14 precum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Anexei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8,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cuprinde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exemple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începând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pag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42 -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Exemple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produse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7619B90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 15:</w:t>
      </w:r>
    </w:p>
    <w:p w14:paraId="53DC1443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un contract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data de 18.01.2022 cu o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durata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14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capitolul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sunt fixe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fac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revizuiri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-un interval de 6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semnarea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acestuia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primele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6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semnarea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conform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 P = Po X ICC /100.</w:t>
      </w:r>
    </w:p>
    <w:p w14:paraId="3D023C8F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Cum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/e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? </w:t>
      </w:r>
    </w:p>
    <w:p w14:paraId="19DA1B35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un act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introducem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perioada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clauză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(6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). </w:t>
      </w:r>
    </w:p>
    <w:p w14:paraId="5F52914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perioadei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clauză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conform contract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8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analizăm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impune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restabilirea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echilibrului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contractual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un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contract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înlocuim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existentă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inițial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momentul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împlinirii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6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?</w:t>
      </w:r>
    </w:p>
    <w:p w14:paraId="7D9B2BA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data la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împlinesc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6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fix? </w:t>
      </w:r>
    </w:p>
    <w:p w14:paraId="44E6729F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primită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inițial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executant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OUG 64/2022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acoperă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?</w:t>
      </w:r>
    </w:p>
    <w:p w14:paraId="57C8063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2FA35E9F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11,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(1) din OUG 64/2021,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decadere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drepturi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prestatorul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transmita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90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Totodata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(10),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 (11)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(12) din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clauza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acoperitoare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cresterile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pretgenerate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clauze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imprevizibile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Astfel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au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obligatiarespectarii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art. 43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sensul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care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demonstreze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dezechilibrul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contractual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raportat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clauzele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existente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momentul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itra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2971D028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intocmi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fiecare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etapa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0E4B529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Avand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moment 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autoritatea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prevazuta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OUG 64/2022,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existente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contract,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momentul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obligatiaintocmirii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justificative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prevazute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de art. 43 din OUG 64/2022.</w:t>
      </w:r>
    </w:p>
    <w:p w14:paraId="7AAB5BD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transmisa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consideram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suficienta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singura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acoperitoare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etape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prevazute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de OUG 64/2022, cu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transmisa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termenul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90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data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intrariiin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OUG 64/2022.</w:t>
      </w:r>
    </w:p>
    <w:p w14:paraId="1AEE4449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 16:</w:t>
      </w:r>
    </w:p>
    <w:p w14:paraId="41BE529A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17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1 din OUG 64/2022- „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stabilită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conform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prezenteiordonanțe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realizează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prestat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.” </w:t>
      </w:r>
    </w:p>
    <w:p w14:paraId="3D73AC9F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Conform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Metodologiei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întocmirea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 „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...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conține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: 6.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determinat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cantitativ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.” </w:t>
      </w:r>
    </w:p>
    <w:p w14:paraId="19B21EF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Conform model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justificativă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–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contract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 </w:t>
      </w:r>
    </w:p>
    <w:p w14:paraId="615A9CFB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„14.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întocmirii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fără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TVA): </w:t>
      </w:r>
    </w:p>
    <w:p w14:paraId="6C452C5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16.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întocmirii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fără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TVA):” </w:t>
      </w:r>
    </w:p>
    <w:p w14:paraId="34C1DED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Cum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considerare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?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întocmirea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justificative?</w:t>
      </w:r>
    </w:p>
    <w:p w14:paraId="0C8DC52E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35D2339A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OUG 64/2022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la data de 11.05.2022.</w:t>
      </w:r>
    </w:p>
    <w:p w14:paraId="5C12762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 17:</w:t>
      </w:r>
    </w:p>
    <w:p w14:paraId="4B4AD25D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Referitor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un contract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determina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exact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ponderea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materialelor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autoritatea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folosi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coeficientul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pondere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materialelor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indicelui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cost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,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total,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INS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Buletinul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Statistic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folosi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coeficientul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pondere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materialelor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real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determinat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?</w:t>
      </w:r>
    </w:p>
    <w:p w14:paraId="107515BA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76CF2F2C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17,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(8) lit. a 1) „%_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cpm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-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reprezinta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coeficient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pondere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materialelor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indicelui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cost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construcţii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total,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Institutul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Naţional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Statistică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Buletinul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Statistic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Preţuri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tabelul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15A,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determinat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funcţie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tipul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construcţie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”.</w:t>
      </w:r>
    </w:p>
    <w:p w14:paraId="0551AA7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materialelor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conform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Centralizator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C6,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identificata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ponderile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materialelor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construcţii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exprimate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procentual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stabilite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funcţie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categoriile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principale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construcţiişi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tipurile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construcţii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Buletinul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Statistic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Preţuri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Institutului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National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Statistică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raportare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achiziţie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2904637B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 18</w:t>
      </w: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</w:t>
      </w:r>
    </w:p>
    <w:p w14:paraId="2869228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10 lit b) din OUG 64/2022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conțină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: “6.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determinat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cantitativ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ordonanţede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urgenţă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procesului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-verbal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recepţie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terminarea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procesului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-verbal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recepţieşi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folosinţă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ocazia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fiecărei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plăţi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cantitativ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;”</w:t>
      </w:r>
    </w:p>
    <w:p w14:paraId="645E5B6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semnifică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cantitativ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11.05.202?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cuprinde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nesolicitate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?</w:t>
      </w:r>
    </w:p>
    <w:p w14:paraId="12E5476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00F0EAC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raporteaza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strict la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lucrarile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/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produsele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ramase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 /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intra sub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incidenta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lucrarile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produsele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inaintede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data de 11.05.2022.</w:t>
      </w:r>
    </w:p>
    <w:p w14:paraId="356A814C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art. 17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(2) „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înţelegeşi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echipamentelor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bunurilor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dotări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independente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realizarea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căror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finanţare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asigurată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fonduri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externe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nerambursabile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fac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finanţare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 care nu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ordonanţe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urgenţă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întocmirea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procesului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verbal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recepţieşi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funcţiune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acestora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.”</w:t>
      </w:r>
    </w:p>
    <w:p w14:paraId="51EF074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 19</w:t>
      </w: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</w:t>
      </w:r>
    </w:p>
    <w:p w14:paraId="59F6AC05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contract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autobuze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echipamente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încărcare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îî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ținând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încadrarea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acestuia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(2) lit b) (ii)?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Totodată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indicați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sursa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solicitate?</w:t>
      </w:r>
    </w:p>
    <w:p w14:paraId="6732205E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0910AD3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achiziţiepublică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sectoriale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acordurilor-cadru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produse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definite la art. 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(1) lit. c)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n)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98/2016,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categoria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active fixe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corporale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aşa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cum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reglementate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Hotărârea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Guvernului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2.139/2004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aprobarea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Catalogului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clasificarea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duratele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normale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funcţionare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mijloacelor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fixe,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completările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ulterioare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şicompletările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ulterioare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</w:p>
    <w:p w14:paraId="5FD1BC25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-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Catalogului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clasificarea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duratelor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normale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funcționare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mijloacelor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fixe,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Hotărârii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Guvernului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2.139/2004,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Anexa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2.3 sunt enumerate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Mijloacele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transport,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mijloacele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transport auto. </w:t>
      </w:r>
    </w:p>
    <w:p w14:paraId="0C2BB4E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Astfel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autobuzele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mijloace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transport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persoane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contract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autobuze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echipamente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încărcare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64/2022.</w:t>
      </w:r>
    </w:p>
    <w:p w14:paraId="03C6E2A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Avand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un contract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stabilita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 17,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(8) lit. b1)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b2) din OUG 64/2022.</w:t>
      </w:r>
    </w:p>
    <w:p w14:paraId="7FF0C12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sursa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precizam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anumite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capitolul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Diverse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 pe care 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transfera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categoriile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create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 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spetacategoria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15/309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natura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furnizare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),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AMPOR. </w:t>
      </w:r>
    </w:p>
    <w:p w14:paraId="522EFBBD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asemenea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3.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8 ”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încadrează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capitolul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diverse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nici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eligibile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neeligibile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75%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eligibilă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condițiile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”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împreună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13,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4 „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evidențiază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distinct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...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pot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efectua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plăți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numai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</w:p>
    <w:p w14:paraId="6F7C643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cap. VI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MDPLA nr. 1586/2022.</w:t>
      </w:r>
    </w:p>
    <w:p w14:paraId="121C802C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 20:</w:t>
      </w:r>
    </w:p>
    <w:p w14:paraId="6A6DDFD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 am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început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simulările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normativ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municipiului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X.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stabilirii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reechilibrarea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nerambursabilă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aflate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municipiului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X 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confruntăm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problema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anterior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apariției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determinat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emiterea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OG 15/2021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OUG 64/2022. </w:t>
      </w:r>
    </w:p>
    <w:p w14:paraId="14311C5E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Cele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multe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modalitatea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materialelor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următoarea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clauză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 </w:t>
      </w:r>
    </w:p>
    <w:p w14:paraId="3B19ECC9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“21.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</w:p>
    <w:p w14:paraId="6C9D9C0E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21.1. –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lucrarile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platile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datorate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executantului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calculate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prevazute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propunerea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anexa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contract. </w:t>
      </w:r>
    </w:p>
    <w:p w14:paraId="7578B86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21.2. – (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1)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Preţurile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se pot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au loc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legislative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emise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autorităţile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locale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administrative care au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instituirea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renunţarea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anumite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taxe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impozite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locale,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căror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efect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reflectă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creşterea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diminuarea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costurilor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cărora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s-a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fundamentat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preţul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</w:p>
    <w:p w14:paraId="33470FE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(2)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propunerea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raportatre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indicii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statistici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Mai,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Noiembrie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publicati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Institutul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National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Statistca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ramura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constructii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urmatoarei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 </w:t>
      </w:r>
    </w:p>
    <w:p w14:paraId="4838D0BA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V=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V(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0) x C(A) </w:t>
      </w:r>
    </w:p>
    <w:p w14:paraId="46AC4CEE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In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care :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</w:p>
    <w:p w14:paraId="5B102CBD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V-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reprezinta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unitar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; </w:t>
      </w:r>
    </w:p>
    <w:p w14:paraId="1691262E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V(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0) –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reprezinta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unitare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declarate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propunerea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;</w:t>
      </w:r>
    </w:p>
    <w:p w14:paraId="59726C2E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C(A) -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reprezinta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coeficientul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urmeaza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indicii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statistici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publicati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Institutul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National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Statistca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ramura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constructii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Mai ,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Noiembrie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funcție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perioada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cînd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are loc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unitare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inițial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propunerea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</w:p>
    <w:p w14:paraId="15AD06C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Notă:O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eventuală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posibilă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devreme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6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începerea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.” </w:t>
      </w:r>
    </w:p>
    <w:p w14:paraId="29E94FD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trimitere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unitar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nici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referință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indicilor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întocmirii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semnării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următoarele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întrebări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</w:t>
      </w:r>
    </w:p>
    <w:p w14:paraId="76A7CAC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V(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0)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definit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legătură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unitare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aici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concluzia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referă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strict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legătură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creșterea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materialelor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aplicându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-se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tuturor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unitare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manoperă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transport,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utilaj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–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special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manopera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– nu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crescut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semnificativ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ultima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perioadă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Referitor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V(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0)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scopul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efectuării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comparației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 43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3 al OUG 64,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unitare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constructorului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unitare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aferente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manoperei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? </w:t>
      </w:r>
    </w:p>
    <w:p w14:paraId="1E1A5968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 </w:t>
      </w:r>
    </w:p>
    <w:p w14:paraId="73E4B808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Așa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cum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descrisă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contract, 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unitare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ofertate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utilizați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indicii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statistici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ramura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reiese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elementele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componente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metriale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manoperă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utilaje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 transport. </w:t>
      </w:r>
    </w:p>
    <w:p w14:paraId="2874EF29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art. 43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realizează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2907D33C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 21:</w:t>
      </w:r>
    </w:p>
    <w:p w14:paraId="2C3F686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precizați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pașii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relația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antreprenorul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Consiliul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județean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autoritatea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finanțatoare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precum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cronlogia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acestora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(cu accent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constituie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fondurile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constituie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momentul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realizează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general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indicatorilor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tehnico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-economici ai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).</w:t>
      </w:r>
    </w:p>
    <w:p w14:paraId="17944B4D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2F19785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Etapele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autoritatea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Contractantiitrebuie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mentionate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art. 10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11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(1)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privestetermenele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7F2A008F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Totodata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precizam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 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site-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inforegio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Ministrului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Dezvoltării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Administrației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1586/10.08.2022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aprobarea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metodologiei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fonduri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externe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nerambursabile. </w:t>
      </w:r>
      <w:hyperlink r:id="rId4" w:history="1">
        <w:r w:rsidRPr="000101EE">
          <w:rPr>
            <w:rFonts w:ascii="Open Sans" w:eastAsia="Times New Roman" w:hAnsi="Open Sans" w:cs="Open Sans"/>
            <w:color w:val="1A77BC"/>
            <w:sz w:val="23"/>
            <w:szCs w:val="23"/>
          </w:rPr>
          <w:t>https://www.inforegio.ro/ro/noutati-anunturi-si-comunicate/132-2021/971-ordinul-ministrului-dezvoltarii-lucrarilor-publice-si-administratiei-nr-1586-10-08-2022-pentru-aprobarea-metodologiei-privind-ajustarea-preturilor-si-a-valorii-devizelor-generale-in-carul-proiectelor-finantate-din-fonduri-externe-nerambursabile</w:t>
        </w:r>
      </w:hyperlink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09646A2F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 22:</w:t>
      </w:r>
    </w:p>
    <w:p w14:paraId="6C4A46D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64/09.05.2022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modalitatea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privati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cum li se pot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asigura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resursele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mărirea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lucrări?Menționăm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Parohia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deține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resurse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suplimentare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identificate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economii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contractual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788CA80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4717138C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punerea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OUG 64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rugăm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aveți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MDLPA nr. 1586/10.08.2022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aprobarea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metodologiei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fonduri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externe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nerambursabile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 </w:t>
      </w:r>
      <w:hyperlink r:id="rId5" w:history="1">
        <w:r w:rsidRPr="000101EE">
          <w:rPr>
            <w:rFonts w:ascii="Open Sans" w:eastAsia="Times New Roman" w:hAnsi="Open Sans" w:cs="Open Sans"/>
            <w:color w:val="1A77BC"/>
            <w:sz w:val="23"/>
            <w:szCs w:val="23"/>
          </w:rPr>
          <w:t>https://www.inforegio.ro/ro/noutati-anunturi-si-comunicate/132-2021/971-ordinul-ministrului-dezvoltarii-lucrarilor-publice-si-administratiei-nr-1586-10-08-2022-pentru-aprobarea-metodologiei-privind-ajustarea-preturilor-si-a-valorii-devizelor-generale-in-carul-proiectelor-finantate-din-fonduri-externe-nerambursabile</w:t>
        </w:r>
      </w:hyperlink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menționează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 1.4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nr. 64/2022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(…)</w:t>
      </w:r>
    </w:p>
    <w:p w14:paraId="5B55B73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contractelorincheiate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privati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fără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scheme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stat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minimis;</w:t>
      </w:r>
    </w:p>
    <w:p w14:paraId="02621B7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  23:</w:t>
      </w:r>
    </w:p>
    <w:p w14:paraId="08C441FB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fonduri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externe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nerambursabile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echipa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identificat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neconcordanță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conținutul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9,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(3) care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referire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 “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reechilibareacontractelor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constituie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initial,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23%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…”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reies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cap. 1,2,4,5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6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general)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9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(7)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căruia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“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destinată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investiției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include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corespunzător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general…” (de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reiese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cap. 4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general). </w:t>
      </w:r>
    </w:p>
    <w:p w14:paraId="6C23F1EE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3A052DB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ceea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art. 9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(3),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specifica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calculeaza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OUG 64/2022.</w:t>
      </w:r>
    </w:p>
    <w:p w14:paraId="73B69BC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art. 9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(7),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impacteaza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clarifica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incadrearea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3F829E7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 24:</w:t>
      </w:r>
    </w:p>
    <w:p w14:paraId="1105592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Cum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interpretează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sintagma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“nu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reechilibrarea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contractuală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”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art.43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2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din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OUG64/2022? </w:t>
      </w:r>
    </w:p>
    <w:p w14:paraId="1539E99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caracter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imperativ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sensul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întocmește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contract,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continuare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existentă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contract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lasă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latitudinea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autorității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posibilitatea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întocmi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contract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introducerea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OUG64?</w:t>
      </w:r>
    </w:p>
    <w:p w14:paraId="69C1FC39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51F5F86A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sintagma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„nu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necesară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reechilibrarea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contractuală”prevăzută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art.43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2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din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OUG64/2022, se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intelege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in care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diferenţa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(1) lit. e)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(1) lit. d)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împărţită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(1) lit. d)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egală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5%,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mentine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prevazuta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contract,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nefiind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64/2022.</w:t>
      </w:r>
    </w:p>
    <w:p w14:paraId="6447CEF3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 25:</w:t>
      </w:r>
    </w:p>
    <w:p w14:paraId="31DB355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Termenul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Autoritatea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il are la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dispozitie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de la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inregsitrareasolicitarii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Constructorului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30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efectuarea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analizelor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impun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intocmirea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Justificative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incheierea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Tinand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legislatia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s-a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ULTERIOR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expirarii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termenului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initial de 60 de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(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speta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11.07.2022),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teoretic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Metotodologia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instrument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extrem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util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intelegerea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corecta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normativ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rugam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clarificati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Metodologia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sus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amintita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curs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perioada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estimati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Ne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intereseaza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aspect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intrucat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cum am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sus,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autoritatea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dispune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un termen de 30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analiza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incheierea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nostru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termen se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epuizeaza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in data de 11.08.2022. 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Metodologia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revizuita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modificarirelationate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anexele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centralizatoare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formualre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etc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dezechilibrului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/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reechibrarii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(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exemplu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Metodologia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specifica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multiplicatorului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aferent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existenta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contract se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calculeaza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indicatorilor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publicati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februarie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2022, 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aceeasi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precizare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reechilibrarii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), Nota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justificativa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(care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nostru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intocmitepana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data de 11.08.2022 )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indrumarileprevazute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metodologia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Ce se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intampla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demersurile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intreprindem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Metodologia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DUPA data de 11.08.2022?</w:t>
      </w:r>
    </w:p>
    <w:p w14:paraId="419933A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2D5E5ABE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precizam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pe site-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inforegio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Ministrului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Dezvoltării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Administrației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1586/10.08.2022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aprobarea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metodologiei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fonduri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externe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nerambursabile. </w:t>
      </w:r>
      <w:hyperlink r:id="rId6" w:history="1">
        <w:r w:rsidRPr="000101EE">
          <w:rPr>
            <w:rFonts w:ascii="Open Sans" w:eastAsia="Times New Roman" w:hAnsi="Open Sans" w:cs="Open Sans"/>
            <w:color w:val="1A77BC"/>
            <w:sz w:val="23"/>
            <w:szCs w:val="23"/>
          </w:rPr>
          <w:t>https://www.inforegio.ro/ro/noutati-anunturi-si-comunicate/132-2021/971-ordinul-ministrului-dezvoltarii-lucrarilor-publice-si-administratiei-nr-1586-10-08-2022-pentru-aprobarea-metodologiei-privind-ajustarea-preturilor-si-a-valorii-devizelor-generale-in-carul-proiectelor-finantate-din-fonduri-externe-nerambursabile</w:t>
        </w:r>
      </w:hyperlink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17CBE7CB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Întrebarea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 26:</w:t>
      </w:r>
    </w:p>
    <w:p w14:paraId="0488162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existenta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actualmente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lucrariderulat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proiectului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SMIS X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introdusa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nr. 2,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OG 15/2021.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Avand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formula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introdusa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contract pe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parcursul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derularii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acestuia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aceasta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s-a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incepand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cu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12  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pana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19,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contextul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care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prevazuta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OUG 64/2022 (care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inlocui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practic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aferenta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OG 15/2021),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19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astfel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SITUATIA DE PLATA FINALA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aferenta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aplicabilitatii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OG 15/2021.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determina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foarte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care se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majoreazapretul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lucrari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OG 15/2021 (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insumareaajustarilor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rezultate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SP 12, 13 ,14, 15, 16, 17, 18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19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). Cum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considerati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oportun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se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reglementa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finala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ajustariipretului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OG 15/2021: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incheierea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act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distinct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lucrari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(anterior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incheierii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pe OUG 64/2022)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aibaca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strict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aspect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includerea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aditionalaferent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OG 64/2022, pe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langa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celelalte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puncte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specifice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 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punct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distinct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determina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lucrari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rezultata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OG 15/2021?</w:t>
      </w:r>
    </w:p>
    <w:p w14:paraId="73C609D0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0F736D3F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in care, ulterior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intocmirii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justificative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prevazuta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la art. 43 din OUG 64/2022,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diferenţa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(1) lit. e)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(1) lit. d)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împărţită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(1) lit. d)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mare de 5%,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reechilibrarea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contractuală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procedura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64/2022. </w:t>
      </w:r>
    </w:p>
    <w:p w14:paraId="5A32C6F4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prevazuta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OUG 64/2022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decontat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astfel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 desi 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executatelucrari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perioada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anterioara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11.05.2022,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au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solicitate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nu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are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impact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asupra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asupra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690759E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Totodataprevederile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art. 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(14) din OG 15/2021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specifica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determinarea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preţului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final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realizează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depunerea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ultimei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situaţieicentralizatoare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cuprinde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totalitatea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efectuate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adiţionale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însuşită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executant,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diriginte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şantierşi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aprobată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autoritatea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entitatea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act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adiţionalla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contract,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nefiind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mentionat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dvs.intrucat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contractual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derulare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5A10D5E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10 din OUG 64/2022 Etapa II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cuprinde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: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evidenţă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plăţile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care pot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efectuate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 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preţului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achiziţie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sectorial/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acordului-cadru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ordonanţe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urgenţă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determinat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cantitativ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prezentei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ordonanţe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urgenţă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procesului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-verbal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recepţie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terminarea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procesului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-verbal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recepţieşi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folosinţă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formula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ocazia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fiecărei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plăţi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cantitativ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valoric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constituirea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evidenţaşiplăţile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loc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anexe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-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inclusiv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documentele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atestă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îndeplinirea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condiţiilor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imprevizibilitate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 3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(13).</w:t>
      </w:r>
    </w:p>
    <w:p w14:paraId="52EAB05F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care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momentul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care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incheiati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act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avetidecontate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lucrarile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 de 11.05.2022,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cunoscand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astfel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care s-a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OG 15/2021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eventuale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majorari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care au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facut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obiectul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anterioare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puteti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precizavaloarea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care s-a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nefiind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doua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distincte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insadecizia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asupra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modalitatii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intocmire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aditionalela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strict 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partilor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107D01DC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 27:</w:t>
      </w:r>
    </w:p>
    <w:p w14:paraId="26BD042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încadrarea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categoria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condițiile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 221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(1) lit (c)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98/2016,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impune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realizarea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controlului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ex ante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ANAP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prețurilor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rezerva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implementare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urmare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109/2022?</w:t>
      </w:r>
    </w:p>
    <w:p w14:paraId="3C542A19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condițiile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impune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realizarea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controlului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ex ante,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caz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primirea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avizului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ANAP?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Aducem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termenul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limită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Urgență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64/2022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modificată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109/2022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având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procesul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durată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numărul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mare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controlul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ex-ante general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necesitateacîncheierii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conduce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extinderea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termenelor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avizare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03DFDF3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3E823A09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Avand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 ANAP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entitatea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publica care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reglementeaza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domeniul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achizitiilor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verificarile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ex-ante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reglementate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ORDONANŢĂ DE URGENŢĂ nr. 98 din 14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decembrie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2017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funcţia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control ex </w:t>
      </w:r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ante</w:t>
      </w:r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procesului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atribuire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acordurilor-cadru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achiziţie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/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acordurilor-cadru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sectoriale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concesiune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şi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concesiune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servicii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rugam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redirectionati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dvs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ANAP,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singura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entitate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publica in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masura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stabileasca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procedurile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supune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controlului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ex-ante.</w:t>
      </w:r>
    </w:p>
    <w:p w14:paraId="24F93FF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 28:</w:t>
      </w:r>
    </w:p>
    <w:p w14:paraId="0916BDC5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Trebuie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amânată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până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emiterea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către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MDLPA,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unei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instrucțiuni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AMPOR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punerea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OUG 64/2022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metodologiile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emise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MIPE?</w:t>
      </w:r>
    </w:p>
    <w:p w14:paraId="487AF167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2F8BD728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OUG 64/2022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 11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(3)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actele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termen de 30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înregistrării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adresei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(1)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documentelor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justificative,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termen de 30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zile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la data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înregistrării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solicitării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Contractantului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introducere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OUG 64/2022.</w:t>
      </w:r>
    </w:p>
    <w:p w14:paraId="22C9F219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situația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Etapele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necesare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pot fi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semnate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înainte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Normelor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există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nicio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constrângere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sens.</w:t>
      </w:r>
      <w:proofErr w:type="spellEnd"/>
    </w:p>
    <w:p w14:paraId="3859776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 29:</w:t>
      </w:r>
    </w:p>
    <w:p w14:paraId="5B45BD5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emite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HCL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certifica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suportarea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elaborarea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justificative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după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încheierea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adițional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?</w:t>
      </w:r>
    </w:p>
    <w:p w14:paraId="1D7CE103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bookmarkStart w:id="2" w:name="_Hlk112761987"/>
      <w:bookmarkEnd w:id="2"/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5AD0EAFB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Potrivit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Ordinului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MDLPA nr. 1586/2022:</w:t>
      </w:r>
    </w:p>
    <w:p w14:paraId="1BD3968C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Art. 4</w:t>
      </w:r>
    </w:p>
    <w:p w14:paraId="1F4339E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scopul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respectării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10 din OUG nr. 64/2022,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au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obligatia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inainte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incheierea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aditionaleaferente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aflate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derulare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parcurgaurmatoareleetape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premergatoare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</w:t>
      </w:r>
    </w:p>
    <w:p w14:paraId="7110F98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- Etapa I –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Intocmirea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Notei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justificative*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îndeplinirea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condiţiilor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cumulative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prevăzute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art. 221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(1) lit. c) pct.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)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98/2016,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art. 238 lit. a)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nr. 99/2016.</w:t>
      </w:r>
    </w:p>
    <w:p w14:paraId="3340B89C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Nota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justificativa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aprobată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reprezentantul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legal al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beneficiarului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modelul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Anexa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6.</w:t>
      </w:r>
    </w:p>
    <w:p w14:paraId="54F6FE2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HCL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emite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respectarea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legale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materia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finanțelor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publice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locale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responsabilității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fiscal-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2280207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 30:</w:t>
      </w:r>
    </w:p>
    <w:p w14:paraId="28694A78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Avand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vedere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nu face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distinctie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strict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anumitor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Devizelor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generale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ci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proofErr w:type="gram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actualizarea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acestora</w:t>
      </w:r>
      <w:proofErr w:type="spellEnd"/>
      <w:proofErr w:type="gram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ansamblu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 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rugam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clarificati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daca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pot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majorari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asupra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conexe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organizarii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santier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  </w:t>
      </w:r>
    </w:p>
    <w:p w14:paraId="6A5AB901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Desi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sunt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lucrari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totusi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aceste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sunt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afectate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cresterea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preturilor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35784C48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631335BA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ramas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 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data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intrariiin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vigoare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OUG 64/2022.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face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distincție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lucrările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serviciile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nu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conține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titlu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explicativ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informațiile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privire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anumite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linii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bugetare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alte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cheltuieli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elimina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, ci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moenționează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clar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faptul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ajustează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tot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restul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rămas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executat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încadrarea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tipurile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contracte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detaliate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Ordonanței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.</w:t>
      </w:r>
    </w:p>
    <w:p w14:paraId="73011D06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Întrebare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 xml:space="preserve"> nr. 31:</w:t>
      </w:r>
    </w:p>
    <w:p w14:paraId="0CC36412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Referitor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la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modalitatea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care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manifestă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dezechilibrul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care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formulă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:</w:t>
      </w:r>
    </w:p>
    <w:p w14:paraId="3EE2C7CD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</w:pPr>
      <w:bookmarkStart w:id="3" w:name="_GoBack"/>
      <w:bookmarkEnd w:id="3"/>
      <w:proofErr w:type="spellStart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Răspuns</w:t>
      </w:r>
      <w:proofErr w:type="spellEnd"/>
      <w:r w:rsidRPr="000101EE">
        <w:rPr>
          <w:rFonts w:ascii="Open Sans" w:eastAsia="Times New Roman" w:hAnsi="Open Sans" w:cs="Open Sans"/>
          <w:b/>
          <w:bCs/>
          <w:color w:val="333333"/>
          <w:sz w:val="23"/>
          <w:szCs w:val="23"/>
        </w:rPr>
        <w:t>:</w:t>
      </w:r>
    </w:p>
    <w:p w14:paraId="1D17E555" w14:textId="77777777" w:rsidR="000101EE" w:rsidRPr="000101EE" w:rsidRDefault="000101EE" w:rsidP="000101EE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sz w:val="23"/>
          <w:szCs w:val="23"/>
        </w:rPr>
      </w:pP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În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conformitate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cu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prevederile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OUG 64/2022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cât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și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Anexei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6 la MDLPA nr. 1586/10.08.2022,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calcula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impactul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al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dezechilibruli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financiar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,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prin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aplicarea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formulei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strict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pentru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valoarile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 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ajustărilor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.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Astfel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se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va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ține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cont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de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definiția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multiplicatorului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din </w:t>
      </w:r>
      <w:proofErr w:type="spellStart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>cadrul</w:t>
      </w:r>
      <w:proofErr w:type="spellEnd"/>
      <w:r w:rsidRPr="000101EE">
        <w:rPr>
          <w:rFonts w:ascii="Open Sans" w:eastAsia="Times New Roman" w:hAnsi="Open Sans" w:cs="Open Sans"/>
          <w:color w:val="333333"/>
          <w:sz w:val="23"/>
          <w:szCs w:val="23"/>
        </w:rPr>
        <w:t xml:space="preserve"> Anexei6.</w:t>
      </w:r>
    </w:p>
    <w:p w14:paraId="00A0BB55" w14:textId="77777777" w:rsidR="00EF7F84" w:rsidRDefault="00EF7F84"/>
    <w:sectPr w:rsidR="00EF7F84" w:rsidSect="000101EE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EE"/>
    <w:rsid w:val="000101EE"/>
    <w:rsid w:val="00575154"/>
    <w:rsid w:val="00CB299E"/>
    <w:rsid w:val="00E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6ABE"/>
  <w15:chartTrackingRefBased/>
  <w15:docId w15:val="{33FE3E48-9841-4BFC-AFD1-5B72CA5F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101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101E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DefaultParagraphFont"/>
    <w:rsid w:val="000101EE"/>
  </w:style>
  <w:style w:type="character" w:customStyle="1" w:styleId="bumpedfont15">
    <w:name w:val="bumpedfont15"/>
    <w:basedOn w:val="DefaultParagraphFont"/>
    <w:rsid w:val="000101EE"/>
  </w:style>
  <w:style w:type="character" w:customStyle="1" w:styleId="s13">
    <w:name w:val="s13"/>
    <w:basedOn w:val="DefaultParagraphFont"/>
    <w:rsid w:val="000101EE"/>
  </w:style>
  <w:style w:type="character" w:customStyle="1" w:styleId="s14">
    <w:name w:val="s14"/>
    <w:basedOn w:val="DefaultParagraphFont"/>
    <w:rsid w:val="000101EE"/>
  </w:style>
  <w:style w:type="character" w:customStyle="1" w:styleId="s15">
    <w:name w:val="s15"/>
    <w:basedOn w:val="DefaultParagraphFont"/>
    <w:rsid w:val="000101EE"/>
  </w:style>
  <w:style w:type="character" w:customStyle="1" w:styleId="s16">
    <w:name w:val="s16"/>
    <w:basedOn w:val="DefaultParagraphFont"/>
    <w:rsid w:val="000101EE"/>
  </w:style>
  <w:style w:type="paragraph" w:customStyle="1" w:styleId="s19">
    <w:name w:val="s19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22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0">
    <w:name w:val="s20"/>
    <w:basedOn w:val="DefaultParagraphFont"/>
    <w:rsid w:val="000101EE"/>
  </w:style>
  <w:style w:type="character" w:customStyle="1" w:styleId="s21">
    <w:name w:val="s21"/>
    <w:basedOn w:val="DefaultParagraphFont"/>
    <w:rsid w:val="000101EE"/>
  </w:style>
  <w:style w:type="paragraph" w:customStyle="1" w:styleId="s23">
    <w:name w:val="s23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6">
    <w:name w:val="s26"/>
    <w:basedOn w:val="DefaultParagraphFont"/>
    <w:rsid w:val="000101EE"/>
  </w:style>
  <w:style w:type="paragraph" w:customStyle="1" w:styleId="s27">
    <w:name w:val="s27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8">
    <w:name w:val="s28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9">
    <w:name w:val="s29"/>
    <w:basedOn w:val="DefaultParagraphFont"/>
    <w:rsid w:val="000101EE"/>
  </w:style>
  <w:style w:type="paragraph" w:customStyle="1" w:styleId="s30">
    <w:name w:val="s30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7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1"/>
    <w:basedOn w:val="DefaultParagraphFont"/>
    <w:rsid w:val="000101EE"/>
  </w:style>
  <w:style w:type="character" w:customStyle="1" w:styleId="bumpedfont20">
    <w:name w:val="bumpedfont20"/>
    <w:basedOn w:val="DefaultParagraphFont"/>
    <w:rsid w:val="000101EE"/>
  </w:style>
  <w:style w:type="paragraph" w:customStyle="1" w:styleId="s35">
    <w:name w:val="s35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2">
    <w:name w:val="s32"/>
    <w:basedOn w:val="DefaultParagraphFont"/>
    <w:rsid w:val="000101EE"/>
  </w:style>
  <w:style w:type="character" w:customStyle="1" w:styleId="s33">
    <w:name w:val="s33"/>
    <w:basedOn w:val="DefaultParagraphFont"/>
    <w:rsid w:val="000101EE"/>
  </w:style>
  <w:style w:type="character" w:customStyle="1" w:styleId="s34">
    <w:name w:val="s34"/>
    <w:basedOn w:val="DefaultParagraphFont"/>
    <w:rsid w:val="000101EE"/>
  </w:style>
  <w:style w:type="character" w:styleId="Hyperlink">
    <w:name w:val="Hyperlink"/>
    <w:basedOn w:val="DefaultParagraphFont"/>
    <w:uiPriority w:val="99"/>
    <w:semiHidden/>
    <w:unhideWhenUsed/>
    <w:rsid w:val="000101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01EE"/>
    <w:rPr>
      <w:color w:val="800080"/>
      <w:u w:val="single"/>
    </w:rPr>
  </w:style>
  <w:style w:type="character" w:customStyle="1" w:styleId="s36">
    <w:name w:val="s36"/>
    <w:basedOn w:val="DefaultParagraphFont"/>
    <w:rsid w:val="000101EE"/>
  </w:style>
  <w:style w:type="paragraph" w:customStyle="1" w:styleId="s39">
    <w:name w:val="s39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8">
    <w:name w:val="s38"/>
    <w:basedOn w:val="DefaultParagraphFont"/>
    <w:rsid w:val="000101EE"/>
  </w:style>
  <w:style w:type="paragraph" w:customStyle="1" w:styleId="s40">
    <w:name w:val="s40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1">
    <w:name w:val="s41"/>
    <w:basedOn w:val="DefaultParagraphFont"/>
    <w:rsid w:val="000101EE"/>
  </w:style>
  <w:style w:type="paragraph" w:customStyle="1" w:styleId="s42">
    <w:name w:val="s42"/>
    <w:basedOn w:val="Normal"/>
    <w:rsid w:val="0001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1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3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regio.ro/ro/noutati-anunturi-si-comunicate/132-2021/971-ordinul-ministrului-dezvoltarii-lucrarilor-publice-si-administratiei-nr-1586-10-08-2022-pentru-aprobarea-metodologiei-privind-ajustarea-preturilor-si-a-valorii-devizelor-generale-in-carul-proiectelor-finantate-din-fonduri-externe-nerambursabile" TargetMode="External"/><Relationship Id="rId5" Type="http://schemas.openxmlformats.org/officeDocument/2006/relationships/hyperlink" Target="https://www.inforegio.ro/ro/noutati-anunturi-si-comunicate/132-2021/971-ordinul-ministrului-dezvoltarii-lucrarilor-publice-si-administratiei-nr-1586-10-08-2022-pentru-aprobarea-metodologiei-privind-ajustarea-preturilor-si-a-valorii-devizelor-generale-in-carul-proiectelor-finantate-din-fonduri-externe-nerambursabile" TargetMode="External"/><Relationship Id="rId4" Type="http://schemas.openxmlformats.org/officeDocument/2006/relationships/hyperlink" Target="https://www.inforegio.ro/ro/noutati-anunturi-si-comunicate/132-2021/971-ordinul-ministrului-dezvoltarii-lucrarilor-publice-si-administratiei-nr-1586-10-08-2022-pentru-aprobarea-metodologiei-privind-ajustarea-preturilor-si-a-valorii-devizelor-generale-in-carul-proiectelor-finantate-din-fonduri-externe-nerambursab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7700</Words>
  <Characters>43891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Zama</dc:creator>
  <cp:keywords/>
  <dc:description/>
  <cp:lastModifiedBy>Cristi Zama</cp:lastModifiedBy>
  <cp:revision>1</cp:revision>
  <dcterms:created xsi:type="dcterms:W3CDTF">2022-09-13T05:14:00Z</dcterms:created>
  <dcterms:modified xsi:type="dcterms:W3CDTF">2022-09-13T05:22:00Z</dcterms:modified>
</cp:coreProperties>
</file>